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CC" w:rsidRPr="003006CC" w:rsidRDefault="003006CC" w:rsidP="00300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6CC" w:rsidRPr="003006CC" w:rsidRDefault="003006CC" w:rsidP="003006C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006CC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3006CC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3006CC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3006CC" w:rsidRPr="003006CC" w:rsidRDefault="003006CC" w:rsidP="003006C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3006CC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3006CC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3006C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3006CC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3006CC" w:rsidRPr="003006CC" w:rsidRDefault="003006CC" w:rsidP="003006CC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06CC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  <w:r w:rsidRPr="003006CC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9</w:t>
      </w:r>
      <w:r w:rsidRPr="003006CC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3006CC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3006CC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3006CC">
        <w:rPr>
          <w:rFonts w:ascii="Times New Roman" w:eastAsia="Times New Roman" w:hAnsi="Times New Roman" w:cs="Times New Roman"/>
          <w:sz w:val="32"/>
          <w:szCs w:val="32"/>
        </w:rPr>
        <w:tab/>
      </w:r>
      <w:r w:rsidRPr="003006CC">
        <w:rPr>
          <w:rFonts w:ascii="Times New Roman" w:eastAsia="Times New Roman" w:hAnsi="Times New Roman" w:cs="Times New Roman"/>
          <w:sz w:val="32"/>
          <w:szCs w:val="32"/>
        </w:rPr>
        <w:tab/>
      </w:r>
      <w:r w:rsidRPr="003006CC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3006CC" w:rsidRPr="003006CC" w:rsidRDefault="003006CC" w:rsidP="00300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3006CC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3006CC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3006CC" w:rsidRPr="003006CC" w:rsidRDefault="003006CC" w:rsidP="003006CC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3006CC">
        <w:rPr>
          <w:rFonts w:ascii="Arial" w:eastAsia="Times New Roman" w:hAnsi="Arial" w:cs="Arial"/>
        </w:rPr>
        <w:t xml:space="preserve"> </w:t>
      </w:r>
      <w:proofErr w:type="spellStart"/>
      <w:r w:rsidRPr="003006CC">
        <w:rPr>
          <w:rFonts w:ascii="Arial" w:eastAsia="Times New Roman" w:hAnsi="Arial" w:cs="Arial"/>
        </w:rPr>
        <w:t>від</w:t>
      </w:r>
      <w:proofErr w:type="spellEnd"/>
      <w:r w:rsidRPr="003006CC">
        <w:rPr>
          <w:rFonts w:ascii="Arial" w:eastAsia="Times New Roman" w:hAnsi="Arial" w:cs="Arial"/>
        </w:rPr>
        <w:t xml:space="preserve">  </w:t>
      </w:r>
      <w:r w:rsidRPr="003006CC">
        <w:rPr>
          <w:rFonts w:ascii="Arial" w:eastAsia="Times New Roman" w:hAnsi="Arial" w:cs="Arial"/>
          <w:u w:val="single"/>
          <w:lang w:val="uk-UA"/>
        </w:rPr>
        <w:t>31</w:t>
      </w:r>
      <w:r w:rsidRPr="003006CC">
        <w:rPr>
          <w:rFonts w:ascii="Arial" w:eastAsia="Times New Roman" w:hAnsi="Arial" w:cs="Arial"/>
          <w:u w:val="single"/>
        </w:rPr>
        <w:t>.0</w:t>
      </w:r>
      <w:r w:rsidRPr="003006CC">
        <w:rPr>
          <w:rFonts w:ascii="Arial" w:eastAsia="Times New Roman" w:hAnsi="Arial" w:cs="Arial"/>
          <w:u w:val="single"/>
          <w:lang w:val="uk-UA"/>
        </w:rPr>
        <w:t>8</w:t>
      </w:r>
      <w:r w:rsidRPr="003006CC">
        <w:rPr>
          <w:rFonts w:ascii="Arial" w:eastAsia="Times New Roman" w:hAnsi="Arial" w:cs="Arial"/>
          <w:u w:val="single"/>
        </w:rPr>
        <w:t>.2023</w:t>
      </w:r>
      <w:r w:rsidRPr="003006CC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39</w:t>
      </w:r>
    </w:p>
    <w:p w:rsidR="003006CC" w:rsidRPr="003006CC" w:rsidRDefault="003006CC" w:rsidP="003006CC">
      <w:pPr>
        <w:spacing w:after="0" w:line="240" w:lineRule="auto"/>
        <w:rPr>
          <w:rFonts w:ascii="Arial" w:eastAsia="Times New Roman" w:hAnsi="Arial" w:cs="Arial"/>
        </w:rPr>
      </w:pPr>
      <w:r w:rsidRPr="003006CC">
        <w:rPr>
          <w:rFonts w:ascii="Arial" w:eastAsia="Times New Roman" w:hAnsi="Arial" w:cs="Arial"/>
        </w:rPr>
        <w:t xml:space="preserve">      м. </w:t>
      </w:r>
      <w:proofErr w:type="spellStart"/>
      <w:r w:rsidRPr="003006CC">
        <w:rPr>
          <w:rFonts w:ascii="Arial" w:eastAsia="Times New Roman" w:hAnsi="Arial" w:cs="Arial"/>
        </w:rPr>
        <w:t>Первомайськ</w:t>
      </w:r>
      <w:proofErr w:type="spellEnd"/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Pr="00C2486B" w:rsidRDefault="003006CC" w:rsidP="00300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рішення міської ради</w:t>
      </w:r>
    </w:p>
    <w:p w:rsidR="003006CC" w:rsidRPr="00C2486B" w:rsidRDefault="003006CC" w:rsidP="003006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hAnsi="Times New Roman" w:cs="Times New Roman"/>
          <w:sz w:val="28"/>
          <w:szCs w:val="28"/>
          <w:lang w:val="uk-UA"/>
        </w:rPr>
        <w:t xml:space="preserve">від 23.12.2020 року ІІ пленарного засідання </w:t>
      </w:r>
    </w:p>
    <w:p w:rsidR="003006CC" w:rsidRPr="00C2486B" w:rsidRDefault="003006CC" w:rsidP="003006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hAnsi="Times New Roman" w:cs="Times New Roman"/>
          <w:sz w:val="28"/>
          <w:szCs w:val="28"/>
          <w:lang w:val="uk-UA"/>
        </w:rPr>
        <w:t>№ 7</w:t>
      </w:r>
      <w:r w:rsidRPr="00C248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Програми </w:t>
      </w:r>
    </w:p>
    <w:p w:rsidR="003006CC" w:rsidRPr="00C2486B" w:rsidRDefault="003006CC" w:rsidP="003006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hAnsi="Times New Roman" w:cs="Times New Roman"/>
          <w:sz w:val="28"/>
          <w:szCs w:val="28"/>
          <w:lang w:val="uk-UA"/>
        </w:rPr>
        <w:t xml:space="preserve">енергозбереження та розвитку альтернативних </w:t>
      </w:r>
    </w:p>
    <w:p w:rsidR="003006CC" w:rsidRPr="00C2486B" w:rsidRDefault="003006CC" w:rsidP="003006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hAnsi="Times New Roman" w:cs="Times New Roman"/>
          <w:sz w:val="28"/>
          <w:szCs w:val="28"/>
          <w:lang w:val="uk-UA"/>
        </w:rPr>
        <w:t xml:space="preserve">джерел енергії Первомайської територіальної </w:t>
      </w:r>
    </w:p>
    <w:p w:rsidR="003006CC" w:rsidRPr="00C2486B" w:rsidRDefault="003006CC" w:rsidP="00300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486B">
        <w:rPr>
          <w:rFonts w:ascii="Times New Roman" w:hAnsi="Times New Roman" w:cs="Times New Roman"/>
          <w:sz w:val="28"/>
          <w:szCs w:val="28"/>
          <w:lang w:val="uk-UA"/>
        </w:rPr>
        <w:t>громади на період до 2024 року</w:t>
      </w:r>
      <w:r w:rsidRPr="00C248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Pr="008F576F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0D6755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пункту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22 частини 1 статті 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21.05.1997 року № 280/97-ВР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доповненнями), враховуючи лист Товариства з обмеженою відповідальністю «КОМУНСЕРВІС ТЕПЛО» від 29 серпня 2023 року № 29-08/2023-1 та </w:t>
      </w:r>
      <w:r w:rsidRPr="008F57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визначення фінансування </w:t>
      </w:r>
      <w:proofErr w:type="spellStart"/>
      <w:r w:rsidRPr="008F576F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енергоефективних</w:t>
      </w:r>
      <w:proofErr w:type="spellEnd"/>
      <w:r w:rsidRPr="008F57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заходів в бюджетних установах та зак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ладах Первомайської міської ради </w:t>
      </w:r>
      <w:r w:rsidRPr="008F576F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3006CC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FA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006CC" w:rsidRPr="005C4FAF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B0FC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Внести зміни до </w:t>
      </w:r>
      <w:r w:rsidRPr="00901A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енергозбереження та розвитку альтернативних джерел енергії Первомайської територіальної громади на період до 2024 року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затвердженої рішенням місь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кої ради від 23.12.2021 року № 7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саме:</w:t>
      </w:r>
    </w:p>
    <w:p w:rsidR="003006CC" w:rsidRPr="001965A0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доповнити завдання 2 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Забезпечення проведення технічних заходів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установах та закладах бюджетної сфери» Додатка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Програми 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План заходів до Програми енергозбереження та розвитку альтернативних джерел енергії Первомайської міської територіальної громади на період до 2024 року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пунктом 2.10 такого змісту</w:t>
      </w:r>
      <w:r w:rsidRPr="00196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4AC1" w:rsidRDefault="00914AC1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887" w:type="dxa"/>
        <w:jc w:val="center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2"/>
        <w:gridCol w:w="1985"/>
        <w:gridCol w:w="1701"/>
        <w:gridCol w:w="1134"/>
        <w:gridCol w:w="1276"/>
        <w:gridCol w:w="936"/>
        <w:gridCol w:w="56"/>
        <w:gridCol w:w="1276"/>
        <w:gridCol w:w="831"/>
      </w:tblGrid>
      <w:tr w:rsidR="003006CC" w:rsidRPr="00825875" w:rsidTr="003006CC">
        <w:trPr>
          <w:trHeight w:val="690"/>
          <w:tblHeader/>
          <w:jc w:val="center"/>
        </w:trPr>
        <w:tc>
          <w:tcPr>
            <w:tcW w:w="692" w:type="dxa"/>
            <w:vMerge w:val="restart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заходів та місце впровадження</w:t>
            </w:r>
          </w:p>
        </w:tc>
        <w:tc>
          <w:tcPr>
            <w:tcW w:w="1701" w:type="dxa"/>
            <w:vMerge w:val="restart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Відповідаль-ні</w:t>
            </w:r>
            <w:proofErr w:type="spellEnd"/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виконавці</w:t>
            </w:r>
          </w:p>
        </w:tc>
        <w:tc>
          <w:tcPr>
            <w:tcW w:w="1134" w:type="dxa"/>
            <w:vMerge w:val="restart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Прогнозні обсяги </w:t>
            </w:r>
            <w:proofErr w:type="spellStart"/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(тис.</w:t>
            </w:r>
            <w:r w:rsidRPr="002F0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грн.)</w:t>
            </w:r>
          </w:p>
        </w:tc>
        <w:tc>
          <w:tcPr>
            <w:tcW w:w="3099" w:type="dxa"/>
            <w:gridSpan w:val="4"/>
            <w:shd w:val="clear" w:color="auto" w:fill="auto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тому числі по роках </w:t>
            </w:r>
          </w:p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(тис.</w:t>
            </w:r>
            <w:r w:rsidRPr="002F0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грн.)</w:t>
            </w:r>
          </w:p>
        </w:tc>
      </w:tr>
      <w:tr w:rsidR="003006CC" w:rsidRPr="00825875" w:rsidTr="003006CC">
        <w:trPr>
          <w:trHeight w:val="690"/>
          <w:tblHeader/>
          <w:jc w:val="center"/>
        </w:trPr>
        <w:tc>
          <w:tcPr>
            <w:tcW w:w="692" w:type="dxa"/>
            <w:vMerge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006CC" w:rsidRPr="002F084E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08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D0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D0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006CC" w:rsidRPr="00825875" w:rsidTr="003006CC">
        <w:trPr>
          <w:trHeight w:val="346"/>
          <w:tblHeader/>
          <w:jc w:val="center"/>
        </w:trPr>
        <w:tc>
          <w:tcPr>
            <w:tcW w:w="692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3006CC" w:rsidRPr="00825875" w:rsidTr="00E46D85">
        <w:trPr>
          <w:trHeight w:val="416"/>
          <w:tblHeader/>
          <w:jc w:val="center"/>
        </w:trPr>
        <w:tc>
          <w:tcPr>
            <w:tcW w:w="692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31" w:type="dxa"/>
            <w:vAlign w:val="center"/>
          </w:tcPr>
          <w:p w:rsidR="003006CC" w:rsidRPr="00CC0D06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3006CC" w:rsidRPr="00825875" w:rsidTr="003006CC">
        <w:trPr>
          <w:trHeight w:val="690"/>
          <w:tblHeader/>
          <w:jc w:val="center"/>
        </w:trPr>
        <w:tc>
          <w:tcPr>
            <w:tcW w:w="692" w:type="dxa"/>
            <w:vAlign w:val="center"/>
          </w:tcPr>
          <w:p w:rsidR="003006CC" w:rsidRPr="00CC0D06" w:rsidRDefault="003006CC" w:rsidP="003006CC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5" w:type="dxa"/>
            <w:gridSpan w:val="8"/>
            <w:vAlign w:val="center"/>
          </w:tcPr>
          <w:p w:rsidR="003006CC" w:rsidRPr="00CC0D06" w:rsidRDefault="003006CC" w:rsidP="003006CC">
            <w:pPr>
              <w:spacing w:after="0" w:line="240" w:lineRule="auto"/>
              <w:ind w:left="-96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</w:pPr>
            <w:r w:rsidRPr="00CC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 xml:space="preserve">Завдання 2. Забезпечення проведення технічних заходів в установах та закладах </w:t>
            </w:r>
          </w:p>
          <w:p w:rsidR="003006CC" w:rsidRPr="00CC0D06" w:rsidRDefault="003006CC" w:rsidP="003006CC">
            <w:pPr>
              <w:spacing w:after="0" w:line="240" w:lineRule="auto"/>
              <w:ind w:left="-96"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бюджетної сфери:</w:t>
            </w:r>
          </w:p>
        </w:tc>
      </w:tr>
      <w:tr w:rsidR="003006CC" w:rsidRPr="00825875" w:rsidTr="003006CC">
        <w:trPr>
          <w:trHeight w:val="690"/>
          <w:tblHeader/>
          <w:jc w:val="center"/>
        </w:trPr>
        <w:tc>
          <w:tcPr>
            <w:tcW w:w="692" w:type="dxa"/>
            <w:vAlign w:val="center"/>
          </w:tcPr>
          <w:p w:rsidR="003006CC" w:rsidRPr="00530943" w:rsidRDefault="003006CC" w:rsidP="001F7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2.10</w:t>
            </w:r>
          </w:p>
        </w:tc>
        <w:tc>
          <w:tcPr>
            <w:tcW w:w="1985" w:type="dxa"/>
            <w:vAlign w:val="center"/>
          </w:tcPr>
          <w:p w:rsidR="003006CC" w:rsidRPr="00404AAD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до комунальної власності Первомайської міської територіальної громади майно (окремі електричні установки, газову котельню, обладнання для постачання тепла, тепломережі тощо)</w:t>
            </w:r>
          </w:p>
        </w:tc>
        <w:tc>
          <w:tcPr>
            <w:tcW w:w="1701" w:type="dxa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комунальної власності та земельних відносин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Первомай-ської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Перво-майської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фінан-сового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ресурсу бюджету громади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фінан-сового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ресурсу бюджету громади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006CC" w:rsidRPr="00530943" w:rsidRDefault="003006CC" w:rsidP="00300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006CC" w:rsidRPr="001965A0" w:rsidRDefault="003006CC" w:rsidP="003006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C4FA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</w:t>
      </w:r>
      <w:r w:rsidRPr="00D8164E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постійну комісію</w:t>
      </w:r>
      <w:r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з питань житлово-комунального господарства, транспорту, </w:t>
      </w:r>
      <w:proofErr w:type="spellStart"/>
      <w:r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>надрокористування</w:t>
      </w:r>
      <w:proofErr w:type="spellEnd"/>
      <w:r w:rsidRPr="00D8164E">
        <w:rPr>
          <w:rFonts w:ascii="Times New Roman" w:eastAsia="Times New Roman" w:hAnsi="Times New Roman" w:cs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</w:t>
      </w:r>
      <w:r w:rsidRPr="00D816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06CC" w:rsidRDefault="003006CC" w:rsidP="003006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Pr="00D8164E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6CC" w:rsidRDefault="003006CC" w:rsidP="00300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Олег ДЕМЧЕНКО</w:t>
      </w:r>
    </w:p>
    <w:p w:rsidR="003006CC" w:rsidRDefault="003006CC" w:rsidP="003006CC">
      <w:pP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:rsidR="003006CC" w:rsidRDefault="003006CC" w:rsidP="003006CC">
      <w:pP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:rsidR="003006CC" w:rsidRDefault="003006CC" w:rsidP="003006CC">
      <w:pP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:rsidR="003006CC" w:rsidRDefault="003006CC" w:rsidP="003006CC">
      <w:pP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:rsidR="003006CC" w:rsidRPr="001D0380" w:rsidRDefault="003006CC" w:rsidP="003006CC">
      <w:pP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 w:rsidRPr="001D0380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Інна Чорна 7 51 62</w:t>
      </w:r>
    </w:p>
    <w:p w:rsidR="003006CC" w:rsidRPr="008F7DA2" w:rsidRDefault="003006CC" w:rsidP="003006CC">
      <w:pPr>
        <w:pStyle w:val="a7"/>
        <w:spacing w:after="0" w:line="225" w:lineRule="atLeast"/>
        <w:rPr>
          <w:color w:val="FFFFFF" w:themeColor="background1"/>
          <w:lang w:val="uk-UA"/>
        </w:rPr>
      </w:pPr>
      <w:r w:rsidRPr="008F7DA2">
        <w:rPr>
          <w:color w:val="FFFFFF" w:themeColor="background1"/>
          <w:lang w:val="uk-UA"/>
        </w:rPr>
        <w:t>Чорна Інна 7 51 62</w:t>
      </w:r>
    </w:p>
    <w:p w:rsidR="00E12E29" w:rsidRDefault="00E12E29"/>
    <w:sectPr w:rsidR="00E12E29" w:rsidSect="003006CC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F98" w:rsidRPr="006C2837" w:rsidRDefault="00E12E29" w:rsidP="00FD0F98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9754FC" w:rsidRPr="009754FC" w:rsidRDefault="00E12E29" w:rsidP="009754F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9754FC">
      <w:rPr>
        <w:rFonts w:ascii="Times New Roman" w:eastAsia="Times New Roman" w:hAnsi="Times New Roman" w:cs="Times New Roman"/>
        <w:b/>
        <w:sz w:val="18"/>
        <w:szCs w:val="18"/>
        <w:lang w:val="uk-UA"/>
      </w:rPr>
      <w:t>Про внесення змін до рішення міської ради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9754FC">
      <w:rPr>
        <w:rFonts w:ascii="Times New Roman" w:hAnsi="Times New Roman" w:cs="Times New Roman"/>
        <w:b/>
        <w:sz w:val="18"/>
        <w:szCs w:val="18"/>
        <w:lang w:val="uk-UA"/>
      </w:rPr>
      <w:t>від 23.12.2020 року ІІ пленарного засідання</w:t>
    </w:r>
  </w:p>
  <w:p w:rsidR="009754FC" w:rsidRPr="009754FC" w:rsidRDefault="00E12E29" w:rsidP="009754FC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9754FC">
      <w:rPr>
        <w:rFonts w:ascii="Times New Roman" w:hAnsi="Times New Roman" w:cs="Times New Roman"/>
        <w:b/>
        <w:sz w:val="18"/>
        <w:szCs w:val="18"/>
        <w:lang w:val="uk-UA"/>
      </w:rPr>
      <w:t>№ 7</w:t>
    </w:r>
    <w:r w:rsidRPr="009754FC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«Про затвердження Програми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754FC">
      <w:rPr>
        <w:rFonts w:ascii="Times New Roman" w:hAnsi="Times New Roman" w:cs="Times New Roman"/>
        <w:b/>
        <w:sz w:val="18"/>
        <w:szCs w:val="18"/>
        <w:lang w:val="uk-UA"/>
      </w:rPr>
      <w:t>енергозбереження та розвитку альтернативних</w:t>
    </w:r>
  </w:p>
  <w:p w:rsidR="006C2837" w:rsidRPr="006C2837" w:rsidRDefault="00E12E29" w:rsidP="009754FC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9754FC">
      <w:rPr>
        <w:rFonts w:ascii="Times New Roman" w:hAnsi="Times New Roman" w:cs="Times New Roman"/>
        <w:b/>
        <w:sz w:val="18"/>
        <w:szCs w:val="18"/>
        <w:lang w:val="uk-UA"/>
      </w:rPr>
      <w:t>джерел енергії Первомайської територіальної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754FC">
      <w:rPr>
        <w:rFonts w:ascii="Times New Roman" w:hAnsi="Times New Roman" w:cs="Times New Roman"/>
        <w:b/>
        <w:sz w:val="18"/>
        <w:szCs w:val="18"/>
        <w:lang w:val="uk-UA"/>
      </w:rPr>
      <w:t>громади на період до 2024 року</w:t>
    </w:r>
    <w:r w:rsidRPr="009754FC">
      <w:rPr>
        <w:rFonts w:ascii="Times New Roman" w:eastAsia="Times New Roman" w:hAnsi="Times New Roman" w:cs="Times New Roman"/>
        <w:b/>
        <w:sz w:val="18"/>
        <w:szCs w:val="18"/>
        <w:lang w:val="uk-UA"/>
      </w:rPr>
      <w:t>»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07" w:rsidRPr="00D97C07" w:rsidRDefault="00E12E29" w:rsidP="00D97C07">
    <w:pPr>
      <w:pStyle w:val="a3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D97C07">
      <w:rPr>
        <w:rFonts w:ascii="Times New Roman" w:hAnsi="Times New Roman" w:cs="Times New Roman"/>
        <w:sz w:val="24"/>
        <w:szCs w:val="24"/>
      </w:rPr>
      <w:fldChar w:fldCharType="begin"/>
    </w:r>
    <w:r w:rsidRPr="00D97C0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97C07">
      <w:rPr>
        <w:rFonts w:ascii="Times New Roman" w:hAnsi="Times New Roman" w:cs="Times New Roman"/>
        <w:sz w:val="24"/>
        <w:szCs w:val="24"/>
      </w:rPr>
      <w:fldChar w:fldCharType="separate"/>
    </w:r>
    <w:r w:rsidR="00914AC1">
      <w:rPr>
        <w:rFonts w:ascii="Times New Roman" w:hAnsi="Times New Roman" w:cs="Times New Roman"/>
        <w:noProof/>
        <w:sz w:val="24"/>
        <w:szCs w:val="24"/>
      </w:rPr>
      <w:t>2</w:t>
    </w:r>
    <w:r w:rsidRPr="00D97C07"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6CC"/>
    <w:rsid w:val="003006CC"/>
    <w:rsid w:val="00914AC1"/>
    <w:rsid w:val="00E12E29"/>
    <w:rsid w:val="00E4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06CC"/>
  </w:style>
  <w:style w:type="paragraph" w:styleId="a5">
    <w:name w:val="footer"/>
    <w:basedOn w:val="a"/>
    <w:link w:val="a6"/>
    <w:uiPriority w:val="99"/>
    <w:semiHidden/>
    <w:unhideWhenUsed/>
    <w:rsid w:val="00300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06CC"/>
  </w:style>
  <w:style w:type="paragraph" w:styleId="a7">
    <w:name w:val="Normal (Web)"/>
    <w:basedOn w:val="a"/>
    <w:uiPriority w:val="99"/>
    <w:rsid w:val="003006CC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0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6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584F-F10F-43DC-9DE9-B45B32E1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2023-09-05T12:37:00Z</dcterms:created>
  <dcterms:modified xsi:type="dcterms:W3CDTF">2023-09-05T12:49:00Z</dcterms:modified>
</cp:coreProperties>
</file>