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7C" w:rsidRPr="009D577C" w:rsidRDefault="009D577C" w:rsidP="009D577C">
      <w:pPr>
        <w:shd w:val="clear" w:color="auto" w:fill="FFFFFF"/>
        <w:spacing w:after="150" w:line="240" w:lineRule="auto"/>
        <w:jc w:val="center"/>
        <w:rPr>
          <w:rFonts w:ascii="Tahoma" w:eastAsia="Times New Roman" w:hAnsi="Tahoma" w:cs="Tahoma"/>
          <w:color w:val="222222"/>
          <w:sz w:val="21"/>
          <w:szCs w:val="21"/>
        </w:rPr>
      </w:pPr>
      <w:proofErr w:type="spellStart"/>
      <w:r w:rsidRPr="009D577C">
        <w:rPr>
          <w:rFonts w:ascii="Tahoma" w:eastAsia="Times New Roman" w:hAnsi="Tahoma" w:cs="Tahoma"/>
          <w:b/>
          <w:bCs/>
          <w:color w:val="222222"/>
          <w:sz w:val="21"/>
          <w:szCs w:val="21"/>
        </w:rPr>
        <w:t>Енергозбереження</w:t>
      </w:r>
      <w:proofErr w:type="spellEnd"/>
      <w:r w:rsidRPr="009D577C">
        <w:rPr>
          <w:rFonts w:ascii="Tahoma" w:eastAsia="Times New Roman" w:hAnsi="Tahoma" w:cs="Tahoma"/>
          <w:b/>
          <w:bCs/>
          <w:color w:val="222222"/>
          <w:sz w:val="21"/>
          <w:szCs w:val="21"/>
        </w:rPr>
        <w:t xml:space="preserve"> </w:t>
      </w:r>
      <w:proofErr w:type="spellStart"/>
      <w:r w:rsidRPr="009D577C">
        <w:rPr>
          <w:rFonts w:ascii="Tahoma" w:eastAsia="Times New Roman" w:hAnsi="Tahoma" w:cs="Tahoma"/>
          <w:b/>
          <w:bCs/>
          <w:color w:val="222222"/>
          <w:sz w:val="21"/>
          <w:szCs w:val="21"/>
        </w:rPr>
        <w:t>та</w:t>
      </w:r>
      <w:proofErr w:type="spellEnd"/>
      <w:r w:rsidRPr="009D577C">
        <w:rPr>
          <w:rFonts w:ascii="Tahoma" w:eastAsia="Times New Roman" w:hAnsi="Tahoma" w:cs="Tahoma"/>
          <w:b/>
          <w:bCs/>
          <w:color w:val="222222"/>
          <w:sz w:val="21"/>
          <w:szCs w:val="21"/>
        </w:rPr>
        <w:t xml:space="preserve"> </w:t>
      </w:r>
      <w:proofErr w:type="spellStart"/>
      <w:r w:rsidRPr="009D577C">
        <w:rPr>
          <w:rFonts w:ascii="Tahoma" w:eastAsia="Times New Roman" w:hAnsi="Tahoma" w:cs="Tahoma"/>
          <w:b/>
          <w:bCs/>
          <w:color w:val="222222"/>
          <w:sz w:val="21"/>
          <w:szCs w:val="21"/>
        </w:rPr>
        <w:t>енергоефективність</w:t>
      </w:r>
      <w:proofErr w:type="spellEnd"/>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Питання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енергоефективності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енергозбереження</w:t>
      </w:r>
      <w:proofErr w:type="spellEnd"/>
      <w:r w:rsidRPr="009D577C">
        <w:rPr>
          <w:rFonts w:ascii="Tahoma" w:eastAsia="Times New Roman" w:hAnsi="Tahoma" w:cs="Tahoma"/>
          <w:color w:val="222222"/>
          <w:sz w:val="21"/>
          <w:szCs w:val="21"/>
        </w:rPr>
        <w:t xml:space="preserve"> є </w:t>
      </w:r>
      <w:proofErr w:type="spellStart"/>
      <w:r w:rsidRPr="009D577C">
        <w:rPr>
          <w:rFonts w:ascii="Tahoma" w:eastAsia="Times New Roman" w:hAnsi="Tahoma" w:cs="Tahoma"/>
          <w:color w:val="222222"/>
          <w:sz w:val="21"/>
          <w:szCs w:val="21"/>
        </w:rPr>
        <w:t>складовою</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соціально</w:t>
      </w:r>
      <w:proofErr w:type="spellEnd"/>
      <w:r w:rsidRPr="009D577C">
        <w:rPr>
          <w:rFonts w:ascii="Tahoma" w:eastAsia="Times New Roman" w:hAnsi="Tahoma" w:cs="Tahoma"/>
          <w:color w:val="222222"/>
          <w:sz w:val="21"/>
          <w:szCs w:val="21"/>
        </w:rPr>
        <w:t xml:space="preserve"> - </w:t>
      </w:r>
      <w:proofErr w:type="spellStart"/>
      <w:r w:rsidRPr="009D577C">
        <w:rPr>
          <w:rFonts w:ascii="Tahoma" w:eastAsia="Times New Roman" w:hAnsi="Tahoma" w:cs="Tahoma"/>
          <w:color w:val="222222"/>
          <w:sz w:val="21"/>
          <w:szCs w:val="21"/>
        </w:rPr>
        <w:t>економічного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розвитку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Первомайської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міської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територіальної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Для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забезпечення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реалізації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енергоефективної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політики</w:t>
      </w:r>
      <w:proofErr w:type="spellEnd"/>
      <w:r w:rsidRPr="009D577C">
        <w:rPr>
          <w:rFonts w:ascii="Tahoma" w:eastAsia="Times New Roman" w:hAnsi="Tahoma" w:cs="Tahoma"/>
          <w:color w:val="222222"/>
          <w:sz w:val="21"/>
          <w:szCs w:val="21"/>
        </w:rPr>
        <w:t xml:space="preserve"> в </w:t>
      </w:r>
      <w:proofErr w:type="spellStart"/>
      <w:r w:rsidRPr="009D577C">
        <w:rPr>
          <w:rFonts w:ascii="Tahoma" w:eastAsia="Times New Roman" w:hAnsi="Tahoma" w:cs="Tahoma"/>
          <w:color w:val="222222"/>
          <w:sz w:val="21"/>
          <w:szCs w:val="21"/>
        </w:rPr>
        <w:t>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території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діє</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Програма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енергозбереження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розвитку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альтернативних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джерел</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енергії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Первомайської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територіальної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період</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до</w:t>
      </w:r>
      <w:proofErr w:type="spellEnd"/>
      <w:r w:rsidRPr="009D577C">
        <w:rPr>
          <w:rFonts w:ascii="Tahoma" w:eastAsia="Times New Roman" w:hAnsi="Tahoma" w:cs="Tahoma"/>
          <w:color w:val="222222"/>
          <w:sz w:val="21"/>
          <w:szCs w:val="21"/>
        </w:rPr>
        <w:t xml:space="preserve"> 2024 </w:t>
      </w:r>
      <w:proofErr w:type="spellStart"/>
      <w:r w:rsidRPr="009D577C">
        <w:rPr>
          <w:rFonts w:ascii="Tahoma" w:eastAsia="Times New Roman" w:hAnsi="Tahoma" w:cs="Tahoma"/>
          <w:color w:val="222222"/>
          <w:sz w:val="21"/>
          <w:szCs w:val="21"/>
        </w:rPr>
        <w:t>року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затверджена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рішенням</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Первомайської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міської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ради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w:t>
      </w:r>
      <w:proofErr w:type="spellEnd"/>
      <w:r w:rsidRPr="009D577C">
        <w:rPr>
          <w:rFonts w:ascii="Tahoma" w:eastAsia="Times New Roman" w:hAnsi="Tahoma" w:cs="Tahoma"/>
          <w:color w:val="222222"/>
          <w:sz w:val="21"/>
          <w:szCs w:val="21"/>
        </w:rPr>
        <w:t xml:space="preserve"> 23.12.2020 </w:t>
      </w:r>
      <w:proofErr w:type="spellStart"/>
      <w:r w:rsidRPr="009D577C">
        <w:rPr>
          <w:rFonts w:ascii="Tahoma" w:eastAsia="Times New Roman" w:hAnsi="Tahoma" w:cs="Tahoma"/>
          <w:color w:val="222222"/>
          <w:sz w:val="21"/>
          <w:szCs w:val="21"/>
        </w:rPr>
        <w:t>року</w:t>
      </w:r>
      <w:proofErr w:type="spellEnd"/>
      <w:r w:rsidRPr="009D577C">
        <w:rPr>
          <w:rFonts w:ascii="Tahoma" w:eastAsia="Times New Roman" w:hAnsi="Tahoma" w:cs="Tahoma"/>
          <w:color w:val="222222"/>
          <w:sz w:val="21"/>
          <w:szCs w:val="21"/>
        </w:rPr>
        <w:t xml:space="preserve"> № 7.</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 xml:space="preserve">У </w:t>
      </w:r>
      <w:proofErr w:type="spellStart"/>
      <w:r w:rsidRPr="009D577C">
        <w:rPr>
          <w:rFonts w:ascii="Tahoma" w:eastAsia="Times New Roman" w:hAnsi="Tahoma" w:cs="Tahoma"/>
          <w:color w:val="222222"/>
          <w:sz w:val="21"/>
          <w:szCs w:val="21"/>
        </w:rPr>
        <w:t>лютому</w:t>
      </w:r>
      <w:proofErr w:type="spellEnd"/>
      <w:r w:rsidRPr="009D577C">
        <w:rPr>
          <w:rFonts w:ascii="Tahoma" w:eastAsia="Times New Roman" w:hAnsi="Tahoma" w:cs="Tahoma"/>
          <w:color w:val="222222"/>
          <w:sz w:val="21"/>
          <w:szCs w:val="21"/>
        </w:rPr>
        <w:t xml:space="preserve"> 2021 </w:t>
      </w:r>
      <w:proofErr w:type="spellStart"/>
      <w:r w:rsidRPr="009D577C">
        <w:rPr>
          <w:rFonts w:ascii="Tahoma" w:eastAsia="Times New Roman" w:hAnsi="Tahoma" w:cs="Tahoma"/>
          <w:color w:val="222222"/>
          <w:sz w:val="21"/>
          <w:szCs w:val="21"/>
        </w:rPr>
        <w:t>року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Первомайська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міська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територіальна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стала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однією</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із</w:t>
      </w:r>
      <w:proofErr w:type="spellEnd"/>
      <w:r w:rsidRPr="009D577C">
        <w:rPr>
          <w:rFonts w:ascii="Tahoma" w:eastAsia="Times New Roman" w:hAnsi="Tahoma" w:cs="Tahoma"/>
          <w:color w:val="222222"/>
          <w:sz w:val="21"/>
          <w:szCs w:val="21"/>
        </w:rPr>
        <w:t xml:space="preserve"> 6 </w:t>
      </w:r>
      <w:proofErr w:type="spellStart"/>
      <w:r w:rsidRPr="009D577C">
        <w:rPr>
          <w:rFonts w:ascii="Tahoma" w:eastAsia="Times New Roman" w:hAnsi="Tahoma" w:cs="Tahoma"/>
          <w:color w:val="222222"/>
          <w:sz w:val="21"/>
          <w:szCs w:val="21"/>
        </w:rPr>
        <w:t>пілотних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громад-партнерів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відібраних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Європейським</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інвестиційним</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банком</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для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моделювання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процесів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впровадження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кредитної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програми</w:t>
      </w:r>
      <w:proofErr w:type="spellEnd"/>
      <w:r w:rsidRPr="009D577C">
        <w:rPr>
          <w:rFonts w:ascii="Tahoma" w:eastAsia="Times New Roman" w:hAnsi="Tahoma" w:cs="Tahoma"/>
          <w:color w:val="222222"/>
          <w:sz w:val="21"/>
          <w:szCs w:val="21"/>
        </w:rPr>
        <w:t xml:space="preserve"> ЄІБ «</w:t>
      </w:r>
      <w:proofErr w:type="spellStart"/>
      <w:r w:rsidRPr="009D577C">
        <w:rPr>
          <w:rFonts w:ascii="Tahoma" w:eastAsia="Times New Roman" w:hAnsi="Tahoma" w:cs="Tahoma"/>
          <w:color w:val="222222"/>
          <w:sz w:val="21"/>
          <w:szCs w:val="21"/>
        </w:rPr>
        <w:t>Енергоефективність</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громадських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будівель</w:t>
      </w:r>
      <w:proofErr w:type="spellEnd"/>
      <w:r w:rsidRPr="009D577C">
        <w:rPr>
          <w:rFonts w:ascii="Tahoma" w:eastAsia="Times New Roman" w:hAnsi="Tahoma" w:cs="Tahoma"/>
          <w:color w:val="222222"/>
          <w:sz w:val="21"/>
          <w:szCs w:val="21"/>
        </w:rPr>
        <w:t xml:space="preserve"> в </w:t>
      </w:r>
      <w:proofErr w:type="spellStart"/>
      <w:r w:rsidRPr="009D577C">
        <w:rPr>
          <w:rFonts w:ascii="Tahoma" w:eastAsia="Times New Roman" w:hAnsi="Tahoma" w:cs="Tahoma"/>
          <w:color w:val="222222"/>
          <w:sz w:val="21"/>
          <w:szCs w:val="21"/>
        </w:rPr>
        <w:t>Україні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Для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моделювання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обрані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об’єкти</w:t>
      </w:r>
      <w:proofErr w:type="spellEnd"/>
      <w:r w:rsidRPr="009D577C">
        <w:rPr>
          <w:rFonts w:ascii="Tahoma" w:eastAsia="Times New Roman" w:hAnsi="Tahoma" w:cs="Tahoma"/>
          <w:color w:val="222222"/>
          <w:sz w:val="21"/>
          <w:szCs w:val="21"/>
        </w:rPr>
        <w:t xml:space="preserve"> в </w:t>
      </w:r>
      <w:proofErr w:type="spellStart"/>
      <w:r w:rsidRPr="009D577C">
        <w:rPr>
          <w:rFonts w:ascii="Tahoma" w:eastAsia="Times New Roman" w:hAnsi="Tahoma" w:cs="Tahoma"/>
          <w:color w:val="222222"/>
          <w:sz w:val="21"/>
          <w:szCs w:val="21"/>
        </w:rPr>
        <w:t>сфері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охорони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здоров’я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лікувальний</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комплекс</w:t>
      </w:r>
      <w:proofErr w:type="spellEnd"/>
      <w:r w:rsidRPr="009D577C">
        <w:rPr>
          <w:rFonts w:ascii="Tahoma" w:eastAsia="Times New Roman" w:hAnsi="Tahoma" w:cs="Tahoma"/>
          <w:color w:val="222222"/>
          <w:sz w:val="21"/>
          <w:szCs w:val="21"/>
        </w:rPr>
        <w:t xml:space="preserve"> №2 </w:t>
      </w:r>
      <w:proofErr w:type="spellStart"/>
      <w:r w:rsidRPr="009D577C">
        <w:rPr>
          <w:rFonts w:ascii="Tahoma" w:eastAsia="Times New Roman" w:hAnsi="Tahoma" w:cs="Tahoma"/>
          <w:color w:val="222222"/>
          <w:sz w:val="21"/>
          <w:szCs w:val="21"/>
        </w:rPr>
        <w:t>по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вул.Федора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Толбухіна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акушерсько-гінекологічне</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відділення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вул</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Богопільській</w:t>
      </w:r>
      <w:proofErr w:type="spellEnd"/>
      <w:r w:rsidRPr="009D577C">
        <w:rPr>
          <w:rFonts w:ascii="Tahoma" w:eastAsia="Times New Roman" w:hAnsi="Tahoma" w:cs="Tahoma"/>
          <w:color w:val="222222"/>
          <w:sz w:val="21"/>
          <w:szCs w:val="21"/>
        </w:rPr>
        <w:t xml:space="preserve">; в </w:t>
      </w:r>
      <w:proofErr w:type="spellStart"/>
      <w:r w:rsidRPr="009D577C">
        <w:rPr>
          <w:rFonts w:ascii="Tahoma" w:eastAsia="Times New Roman" w:hAnsi="Tahoma" w:cs="Tahoma"/>
          <w:color w:val="222222"/>
          <w:sz w:val="21"/>
          <w:szCs w:val="21"/>
        </w:rPr>
        <w:t>сфері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освіти</w:t>
      </w:r>
      <w:proofErr w:type="spellEnd"/>
      <w:r w:rsidRPr="009D577C">
        <w:rPr>
          <w:rFonts w:ascii="Tahoma" w:eastAsia="Times New Roman" w:hAnsi="Tahoma" w:cs="Tahoma"/>
          <w:color w:val="222222"/>
          <w:sz w:val="21"/>
          <w:szCs w:val="21"/>
        </w:rPr>
        <w:t xml:space="preserve">: ЗОШ №4 </w:t>
      </w:r>
      <w:proofErr w:type="spellStart"/>
      <w:r w:rsidRPr="009D577C">
        <w:rPr>
          <w:rFonts w:ascii="Tahoma" w:eastAsia="Times New Roman" w:hAnsi="Tahoma" w:cs="Tahoma"/>
          <w:color w:val="222222"/>
          <w:sz w:val="21"/>
          <w:szCs w:val="21"/>
        </w:rPr>
        <w:t>та</w:t>
      </w:r>
      <w:proofErr w:type="spellEnd"/>
      <w:r w:rsidRPr="009D577C">
        <w:rPr>
          <w:rFonts w:ascii="Tahoma" w:eastAsia="Times New Roman" w:hAnsi="Tahoma" w:cs="Tahoma"/>
          <w:color w:val="222222"/>
          <w:sz w:val="21"/>
          <w:szCs w:val="21"/>
        </w:rPr>
        <w:t xml:space="preserve"> ЗОШ №5.</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 xml:space="preserve">В </w:t>
      </w:r>
      <w:proofErr w:type="spellStart"/>
      <w:r w:rsidRPr="009D577C">
        <w:rPr>
          <w:rFonts w:ascii="Tahoma" w:eastAsia="Times New Roman" w:hAnsi="Tahoma" w:cs="Tahoma"/>
          <w:color w:val="222222"/>
          <w:sz w:val="21"/>
          <w:szCs w:val="21"/>
        </w:rPr>
        <w:t>квітні</w:t>
      </w:r>
      <w:proofErr w:type="spellEnd"/>
      <w:r w:rsidRPr="009D577C">
        <w:rPr>
          <w:rFonts w:ascii="Tahoma" w:eastAsia="Times New Roman" w:hAnsi="Tahoma" w:cs="Tahoma"/>
          <w:color w:val="222222"/>
          <w:sz w:val="21"/>
          <w:szCs w:val="21"/>
        </w:rPr>
        <w:t xml:space="preserve"> 2021 </w:t>
      </w:r>
      <w:proofErr w:type="spellStart"/>
      <w:r w:rsidRPr="009D577C">
        <w:rPr>
          <w:rFonts w:ascii="Tahoma" w:eastAsia="Times New Roman" w:hAnsi="Tahoma" w:cs="Tahoma"/>
          <w:color w:val="222222"/>
          <w:sz w:val="21"/>
          <w:szCs w:val="21"/>
        </w:rPr>
        <w:t>року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відбулась</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робоча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зустріч</w:t>
      </w:r>
      <w:proofErr w:type="spellEnd"/>
      <w:r w:rsidRPr="009D577C">
        <w:rPr>
          <w:rFonts w:ascii="Tahoma" w:eastAsia="Times New Roman" w:hAnsi="Tahoma" w:cs="Tahoma"/>
          <w:color w:val="222222"/>
          <w:sz w:val="21"/>
          <w:szCs w:val="21"/>
        </w:rPr>
        <w:t xml:space="preserve"> з </w:t>
      </w:r>
      <w:proofErr w:type="spellStart"/>
      <w:r w:rsidRPr="009D577C">
        <w:rPr>
          <w:rFonts w:ascii="Tahoma" w:eastAsia="Times New Roman" w:hAnsi="Tahoma" w:cs="Tahoma"/>
          <w:color w:val="222222"/>
          <w:sz w:val="21"/>
          <w:szCs w:val="21"/>
        </w:rPr>
        <w:t>фінансовим</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експертом</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консультативної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групи</w:t>
      </w:r>
      <w:proofErr w:type="spellEnd"/>
      <w:r w:rsidRPr="009D577C">
        <w:rPr>
          <w:rFonts w:ascii="Tahoma" w:eastAsia="Times New Roman" w:hAnsi="Tahoma" w:cs="Tahoma"/>
          <w:color w:val="222222"/>
          <w:sz w:val="21"/>
          <w:szCs w:val="21"/>
        </w:rPr>
        <w:t xml:space="preserve"> ЄІБ </w:t>
      </w:r>
      <w:proofErr w:type="spellStart"/>
      <w:r w:rsidRPr="009D577C">
        <w:rPr>
          <w:rFonts w:ascii="Tahoma" w:eastAsia="Times New Roman" w:hAnsi="Tahoma" w:cs="Tahoma"/>
          <w:color w:val="222222"/>
          <w:sz w:val="21"/>
          <w:szCs w:val="21"/>
        </w:rPr>
        <w:t>щодо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подальшої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співпраці</w:t>
      </w:r>
      <w:proofErr w:type="spellEnd"/>
      <w:r w:rsidRPr="009D577C">
        <w:rPr>
          <w:rFonts w:ascii="Tahoma" w:eastAsia="Times New Roman" w:hAnsi="Tahoma" w:cs="Tahoma"/>
          <w:color w:val="222222"/>
          <w:sz w:val="21"/>
          <w:szCs w:val="21"/>
        </w:rPr>
        <w:t>.</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В рамках проєкту</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 xml:space="preserve"> «Енергоефективність у громадах ІІ» (</w:t>
      </w:r>
      <w:r w:rsidRPr="009D577C">
        <w:rPr>
          <w:rFonts w:ascii="Tahoma" w:eastAsia="Times New Roman" w:hAnsi="Tahoma" w:cs="Tahoma"/>
          <w:color w:val="222222"/>
          <w:sz w:val="21"/>
          <w:szCs w:val="21"/>
        </w:rPr>
        <w:t>GIZ</w:t>
      </w:r>
      <w:r w:rsidRPr="009D577C">
        <w:rPr>
          <w:rFonts w:ascii="Tahoma" w:eastAsia="Times New Roman" w:hAnsi="Tahoma" w:cs="Tahoma"/>
          <w:color w:val="222222"/>
          <w:sz w:val="21"/>
          <w:szCs w:val="21"/>
          <w:lang w:val="ru-RU"/>
        </w:rPr>
        <w:t>), на платформі</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rPr>
        <w:fldChar w:fldCharType="begin"/>
      </w:r>
      <w:r w:rsidRPr="009D577C">
        <w:rPr>
          <w:rFonts w:ascii="Tahoma" w:eastAsia="Times New Roman" w:hAnsi="Tahoma" w:cs="Tahoma"/>
          <w:color w:val="222222"/>
          <w:sz w:val="21"/>
          <w:szCs w:val="21"/>
          <w:lang w:val="ru-RU"/>
        </w:rPr>
        <w:instrText xml:space="preserve"> </w:instrText>
      </w:r>
      <w:r w:rsidRPr="009D577C">
        <w:rPr>
          <w:rFonts w:ascii="Tahoma" w:eastAsia="Times New Roman" w:hAnsi="Tahoma" w:cs="Tahoma"/>
          <w:color w:val="222222"/>
          <w:sz w:val="21"/>
          <w:szCs w:val="21"/>
        </w:rPr>
        <w:instrText>HYPERLINK</w:instrText>
      </w:r>
      <w:r w:rsidRPr="009D577C">
        <w:rPr>
          <w:rFonts w:ascii="Tahoma" w:eastAsia="Times New Roman" w:hAnsi="Tahoma" w:cs="Tahoma"/>
          <w:color w:val="222222"/>
          <w:sz w:val="21"/>
          <w:szCs w:val="21"/>
          <w:lang w:val="ru-RU"/>
        </w:rPr>
        <w:instrText xml:space="preserve"> "</w:instrText>
      </w:r>
      <w:r w:rsidRPr="009D577C">
        <w:rPr>
          <w:rFonts w:ascii="Tahoma" w:eastAsia="Times New Roman" w:hAnsi="Tahoma" w:cs="Tahoma"/>
          <w:color w:val="222222"/>
          <w:sz w:val="21"/>
          <w:szCs w:val="21"/>
        </w:rPr>
        <w:instrText>http</w:instrText>
      </w:r>
      <w:r w:rsidRPr="009D577C">
        <w:rPr>
          <w:rFonts w:ascii="Tahoma" w:eastAsia="Times New Roman" w:hAnsi="Tahoma" w:cs="Tahoma"/>
          <w:color w:val="222222"/>
          <w:sz w:val="21"/>
          <w:szCs w:val="21"/>
          <w:lang w:val="ru-RU"/>
        </w:rPr>
        <w:instrText>://</w:instrText>
      </w:r>
      <w:r w:rsidRPr="009D577C">
        <w:rPr>
          <w:rFonts w:ascii="Tahoma" w:eastAsia="Times New Roman" w:hAnsi="Tahoma" w:cs="Tahoma"/>
          <w:color w:val="222222"/>
          <w:sz w:val="21"/>
          <w:szCs w:val="21"/>
        </w:rPr>
        <w:instrText>misto</w:instrText>
      </w:r>
      <w:r w:rsidRPr="009D577C">
        <w:rPr>
          <w:rFonts w:ascii="Tahoma" w:eastAsia="Times New Roman" w:hAnsi="Tahoma" w:cs="Tahoma"/>
          <w:color w:val="222222"/>
          <w:sz w:val="21"/>
          <w:szCs w:val="21"/>
          <w:lang w:val="ru-RU"/>
        </w:rPr>
        <w:instrText>-</w:instrText>
      </w:r>
      <w:r w:rsidRPr="009D577C">
        <w:rPr>
          <w:rFonts w:ascii="Tahoma" w:eastAsia="Times New Roman" w:hAnsi="Tahoma" w:cs="Tahoma"/>
          <w:color w:val="222222"/>
          <w:sz w:val="21"/>
          <w:szCs w:val="21"/>
        </w:rPr>
        <w:instrText>em</w:instrText>
      </w:r>
      <w:r w:rsidRPr="009D577C">
        <w:rPr>
          <w:rFonts w:ascii="Tahoma" w:eastAsia="Times New Roman" w:hAnsi="Tahoma" w:cs="Tahoma"/>
          <w:color w:val="222222"/>
          <w:sz w:val="21"/>
          <w:szCs w:val="21"/>
          <w:lang w:val="ru-RU"/>
        </w:rPr>
        <w:instrText>.</w:instrText>
      </w:r>
      <w:r w:rsidRPr="009D577C">
        <w:rPr>
          <w:rFonts w:ascii="Tahoma" w:eastAsia="Times New Roman" w:hAnsi="Tahoma" w:cs="Tahoma"/>
          <w:color w:val="222222"/>
          <w:sz w:val="21"/>
          <w:szCs w:val="21"/>
        </w:rPr>
        <w:instrText>org</w:instrText>
      </w:r>
      <w:r w:rsidRPr="009D577C">
        <w:rPr>
          <w:rFonts w:ascii="Tahoma" w:eastAsia="Times New Roman" w:hAnsi="Tahoma" w:cs="Tahoma"/>
          <w:color w:val="222222"/>
          <w:sz w:val="21"/>
          <w:szCs w:val="21"/>
          <w:lang w:val="ru-RU"/>
        </w:rPr>
        <w:instrText>.</w:instrText>
      </w:r>
      <w:r w:rsidRPr="009D577C">
        <w:rPr>
          <w:rFonts w:ascii="Tahoma" w:eastAsia="Times New Roman" w:hAnsi="Tahoma" w:cs="Tahoma"/>
          <w:color w:val="222222"/>
          <w:sz w:val="21"/>
          <w:szCs w:val="21"/>
        </w:rPr>
        <w:instrText>ua</w:instrText>
      </w:r>
      <w:r w:rsidRPr="009D577C">
        <w:rPr>
          <w:rFonts w:ascii="Tahoma" w:eastAsia="Times New Roman" w:hAnsi="Tahoma" w:cs="Tahoma"/>
          <w:color w:val="222222"/>
          <w:sz w:val="21"/>
          <w:szCs w:val="21"/>
          <w:lang w:val="ru-RU"/>
        </w:rPr>
        <w:instrText xml:space="preserve">/" </w:instrText>
      </w:r>
      <w:r w:rsidRPr="009D577C">
        <w:rPr>
          <w:rFonts w:ascii="Tahoma" w:eastAsia="Times New Roman" w:hAnsi="Tahoma" w:cs="Tahoma"/>
          <w:color w:val="222222"/>
          <w:sz w:val="21"/>
          <w:szCs w:val="21"/>
        </w:rPr>
        <w:fldChar w:fldCharType="separate"/>
      </w:r>
      <w:r w:rsidRPr="009D577C">
        <w:rPr>
          <w:rFonts w:ascii="Tahoma" w:eastAsia="Times New Roman" w:hAnsi="Tahoma" w:cs="Tahoma"/>
          <w:color w:val="337AB7"/>
          <w:sz w:val="21"/>
          <w:szCs w:val="21"/>
          <w:u w:val="single"/>
        </w:rPr>
        <w:t>http</w:t>
      </w:r>
      <w:r w:rsidRPr="009D577C">
        <w:rPr>
          <w:rFonts w:ascii="Tahoma" w:eastAsia="Times New Roman" w:hAnsi="Tahoma" w:cs="Tahoma"/>
          <w:color w:val="337AB7"/>
          <w:sz w:val="21"/>
          <w:szCs w:val="21"/>
          <w:u w:val="single"/>
          <w:lang w:val="ru-RU"/>
        </w:rPr>
        <w:t>://</w:t>
      </w:r>
      <w:r w:rsidRPr="009D577C">
        <w:rPr>
          <w:rFonts w:ascii="Tahoma" w:eastAsia="Times New Roman" w:hAnsi="Tahoma" w:cs="Tahoma"/>
          <w:color w:val="337AB7"/>
          <w:sz w:val="21"/>
          <w:szCs w:val="21"/>
          <w:u w:val="single"/>
        </w:rPr>
        <w:t>misto</w:t>
      </w:r>
      <w:r w:rsidRPr="009D577C">
        <w:rPr>
          <w:rFonts w:ascii="Tahoma" w:eastAsia="Times New Roman" w:hAnsi="Tahoma" w:cs="Tahoma"/>
          <w:color w:val="337AB7"/>
          <w:sz w:val="21"/>
          <w:szCs w:val="21"/>
          <w:u w:val="single"/>
          <w:lang w:val="ru-RU"/>
        </w:rPr>
        <w:t>-</w:t>
      </w:r>
      <w:r w:rsidRPr="009D577C">
        <w:rPr>
          <w:rFonts w:ascii="Tahoma" w:eastAsia="Times New Roman" w:hAnsi="Tahoma" w:cs="Tahoma"/>
          <w:color w:val="337AB7"/>
          <w:sz w:val="21"/>
          <w:szCs w:val="21"/>
          <w:u w:val="single"/>
        </w:rPr>
        <w:t>em</w:t>
      </w:r>
      <w:r w:rsidRPr="009D577C">
        <w:rPr>
          <w:rFonts w:ascii="Tahoma" w:eastAsia="Times New Roman" w:hAnsi="Tahoma" w:cs="Tahoma"/>
          <w:color w:val="337AB7"/>
          <w:sz w:val="21"/>
          <w:szCs w:val="21"/>
          <w:u w:val="single"/>
          <w:lang w:val="ru-RU"/>
        </w:rPr>
        <w:t>.</w:t>
      </w:r>
      <w:r w:rsidRPr="009D577C">
        <w:rPr>
          <w:rFonts w:ascii="Tahoma" w:eastAsia="Times New Roman" w:hAnsi="Tahoma" w:cs="Tahoma"/>
          <w:color w:val="337AB7"/>
          <w:sz w:val="21"/>
          <w:szCs w:val="21"/>
          <w:u w:val="single"/>
        </w:rPr>
        <w:t>org</w:t>
      </w:r>
      <w:r w:rsidRPr="009D577C">
        <w:rPr>
          <w:rFonts w:ascii="Tahoma" w:eastAsia="Times New Roman" w:hAnsi="Tahoma" w:cs="Tahoma"/>
          <w:color w:val="337AB7"/>
          <w:sz w:val="21"/>
          <w:szCs w:val="21"/>
          <w:u w:val="single"/>
          <w:lang w:val="ru-RU"/>
        </w:rPr>
        <w:t>.</w:t>
      </w:r>
      <w:r w:rsidRPr="009D577C">
        <w:rPr>
          <w:rFonts w:ascii="Tahoma" w:eastAsia="Times New Roman" w:hAnsi="Tahoma" w:cs="Tahoma"/>
          <w:color w:val="337AB7"/>
          <w:sz w:val="21"/>
          <w:szCs w:val="21"/>
          <w:u w:val="single"/>
        </w:rPr>
        <w:t>ua</w:t>
      </w:r>
      <w:r w:rsidRPr="009D577C">
        <w:rPr>
          <w:rFonts w:ascii="Tahoma" w:eastAsia="Times New Roman" w:hAnsi="Tahoma" w:cs="Tahoma"/>
          <w:color w:val="337AB7"/>
          <w:sz w:val="21"/>
          <w:szCs w:val="21"/>
          <w:u w:val="single"/>
          <w:lang w:val="ru-RU"/>
        </w:rPr>
        <w:t>/</w:t>
      </w:r>
      <w:r w:rsidRPr="009D577C">
        <w:rPr>
          <w:rFonts w:ascii="Tahoma" w:eastAsia="Times New Roman" w:hAnsi="Tahoma" w:cs="Tahoma"/>
          <w:color w:val="222222"/>
          <w:sz w:val="21"/>
          <w:szCs w:val="21"/>
        </w:rPr>
        <w:fldChar w:fldCharType="end"/>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 xml:space="preserve"> створено профіль Первомайської міської територіальної громади.</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Управлінням економічного розвитку територіальної громади ведеться робота щодо проведення інвентаризації будівель бюджетної сфери: систем опалення, стану зовнішніх стін, підвалів, фундаменту, покрівлі, вентиляції, освітлення (зовнішнього та внутрішнього), водопостачання та водовідведення.</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 метою здійснення контролю та забезпечення системного аналізу існуючого стану споживання енергетичних ресурсів в установах бюджетної сфери щоденно проводиться моніторинг споживання енергоресурсів з використанням програми «Енергоплан-2.1».</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Задля розуміння важливості питання ощадного використання енергоресурсів,</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 xml:space="preserve"> впровадження альтернативних джерел енергії, охорони навколишнього природного середовища на території Первомайської міської територіальної громади в рамках Європейського Тижня Сталої Енергії в Україні, за підтримки Асоціації «Енергоефективні міста України», 25, 26 та 27 жовтня 2021 року будуть проведеної Дні сталої енергії. Заходи направлені на популяризацію ідей раціонального використання енергоресурсів, альтернативних та екологічно безпечних джерел енергії. Важливим питанням є залучення молоді, дітей до участі в заходах. Тому, цього року більшість подій будуть проведені в навчальних закладах міської територіальної громади.</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Для забезпечення ефективного використання паливно - енергетичних ресурсів протягом 9 місяців 2021 року у бюджетних установах та закладах міської теріторіальної громади за рахунок коштів міського бюджету та інших залучених коштів проведені наступні заходи:</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Заклади освіти:</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1.1. замінено 21 вікно (9 закладів) та 20 (10 закладів) дверей на металопластикові (177,7 тис.грн.), у тому числі за рахунок коштів міського бюджету в сумі 25,0 тис.грн., інші кошти – 152,7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1.2. проведена заміна та встановлення приладів обліку споживання води, тепло-, електро-</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 xml:space="preserve"> та газових лічильників (69,7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1.3. проведено додаткові ремонтні роботи по ремонту електрообладнання, часткова заміна труб системи опалення, технічне обслуговування газопровідної мережі та перевірка газового обладнання (179,6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1.4. проведено поточний ремонт даху дошкільного навчального закладу № 4 на суму 198,3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1.5. поточний ремонт санвузлів Первомайської гімназії №2 (110,0 тис. 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lastRenderedPageBreak/>
        <w:t>1.6. поточний ремонт даху будівлі топкової Первомайської гімназії №17 (188,7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1.7. поетапно у 45 закладах освіти замінено 468 освітлювальних приладів на енергоощадні на суму 13,1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Загальна вартість закладів склала 937,1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Заклади охорони здоров’я (КП «Первомайський міський центр медико - санітарної допомоги», КНП «Первомайська центральна міська багатопрофільна лікарня», КНП «Первомайська центральна районна лікарня»):</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1.1. проведено заміну 4 вікон та 1 дверей на металопластикові вартістю 38,7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xml:space="preserve">1.2. поетапно замінено 120 освітлювальних приладів на енергоощадні (6,4 тис.грн.), економія за </w:t>
      </w:r>
      <w:r w:rsidRPr="009D577C">
        <w:rPr>
          <w:rFonts w:ascii="Tahoma" w:eastAsia="Times New Roman" w:hAnsi="Tahoma" w:cs="Tahoma"/>
          <w:color w:val="222222"/>
          <w:sz w:val="21"/>
          <w:szCs w:val="21"/>
        </w:rPr>
        <w:t>I</w:t>
      </w:r>
      <w:r w:rsidRPr="009D577C">
        <w:rPr>
          <w:rFonts w:ascii="Tahoma" w:eastAsia="Times New Roman" w:hAnsi="Tahoma" w:cs="Tahoma"/>
          <w:color w:val="222222"/>
          <w:sz w:val="21"/>
          <w:szCs w:val="21"/>
          <w:lang w:val="ru-RU"/>
        </w:rPr>
        <w:t xml:space="preserve"> півріччя 2021 року склала 2434 кВт або 8,1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1.3. проведено поточний ремонт амбулаторії «Центр-1» та «Центр-2» по вул. Івана Виговського,9 на суму 62,1 тис.грн. та 35,4 тис.грн. відповідно;</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1.4. проведено поточний ремонт приміщень харчоблоку у лікувальному комплексі №2 по вул. Федора Толбухіна,105 на суму 6,5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1.5. проведено ремонт та утеплення тепломереж на території КНП «Первомайська центральна районна лікарня» на</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 xml:space="preserve"> загальну суму 88,8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Вартість заходів склала 237,9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Заклади та установи управління культури, національностей, релігій, молоді та спорту міської ради:</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xml:space="preserve">1.1. </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проведено поточний ремонт фасаду будівель:</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МЦКіД ім.Є.Зарницької на суму 6,3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Дитячої художньої школи на суму 2,0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-Дитячої музичної школи №1 на суму 1,6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Дитячої музичної школи №2 на суму 1,6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Публічна бібліотека суму 3,1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 xml:space="preserve"> Вартість заходів склала 14,6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Заклади управління соціального захисту населення міської ради, фінансового управління міської ради та виконавчого комітету Первомайської міської ради:</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 xml:space="preserve">1.1. </w:t>
      </w:r>
      <w:r w:rsidRPr="009D577C">
        <w:rPr>
          <w:rFonts w:ascii="Tahoma" w:eastAsia="Times New Roman" w:hAnsi="Tahoma" w:cs="Tahoma"/>
          <w:color w:val="222222"/>
          <w:sz w:val="21"/>
          <w:szCs w:val="21"/>
        </w:rPr>
        <w:t> </w:t>
      </w:r>
      <w:r w:rsidRPr="009D577C">
        <w:rPr>
          <w:rFonts w:ascii="Tahoma" w:eastAsia="Times New Roman" w:hAnsi="Tahoma" w:cs="Tahoma"/>
          <w:color w:val="222222"/>
          <w:sz w:val="21"/>
          <w:szCs w:val="21"/>
          <w:lang w:val="ru-RU"/>
        </w:rPr>
        <w:t>поступово замінено 99 освітлювальних приладів на енергоощаді на загальну суму 4,6 тис.грн;</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1.2. постійно здійснюється контроль за дотриманням норм споживання енергоресурсів;</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1.3. постійний контроль за відключенням електроприладів в разі їх невикористання.</w:t>
      </w:r>
      <w:r w:rsidRPr="009D577C">
        <w:rPr>
          <w:rFonts w:ascii="Tahoma" w:eastAsia="Times New Roman" w:hAnsi="Tahoma" w:cs="Tahoma"/>
          <w:color w:val="222222"/>
          <w:sz w:val="21"/>
          <w:szCs w:val="21"/>
        </w:rPr>
        <w:t> </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rPr>
        <w:t> </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Споживання енергоресурсів закладами та установами бюджетної сфери Первомайської міської територіальної громади за 9 місяців 2021 року</w:t>
      </w:r>
    </w:p>
    <w:tbl>
      <w:tblPr>
        <w:tblW w:w="8250" w:type="dxa"/>
        <w:tblInd w:w="25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3205"/>
        <w:gridCol w:w="1345"/>
        <w:gridCol w:w="1651"/>
        <w:gridCol w:w="1513"/>
      </w:tblGrid>
      <w:tr w:rsidR="009D577C" w:rsidRPr="009D577C" w:rsidTr="009D577C">
        <w:trPr>
          <w:trHeight w:val="113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 п/п</w:t>
            </w:r>
          </w:p>
        </w:tc>
        <w:tc>
          <w:tcPr>
            <w:tcW w:w="198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Вид</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енергоресурсів</w:t>
            </w:r>
            <w:proofErr w:type="spellEnd"/>
          </w:p>
        </w:tc>
        <w:tc>
          <w:tcPr>
            <w:tcW w:w="170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Одиниці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вимірювання</w:t>
            </w:r>
            <w:proofErr w:type="spellEnd"/>
          </w:p>
        </w:tc>
        <w:tc>
          <w:tcPr>
            <w:tcW w:w="2551"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Споживання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енергоресурсів</w:t>
            </w:r>
            <w:proofErr w:type="spellEnd"/>
          </w:p>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w:t>
            </w:r>
            <w:proofErr w:type="spellStart"/>
            <w:r w:rsidRPr="009D577C">
              <w:rPr>
                <w:rFonts w:ascii="Tahoma" w:eastAsia="Times New Roman" w:hAnsi="Tahoma" w:cs="Tahoma"/>
                <w:color w:val="222222"/>
                <w:sz w:val="21"/>
                <w:szCs w:val="21"/>
              </w:rPr>
              <w:t>нат.од</w:t>
            </w:r>
            <w:proofErr w:type="spellEnd"/>
            <w:r w:rsidRPr="009D577C">
              <w:rPr>
                <w:rFonts w:ascii="Tahoma" w:eastAsia="Times New Roman" w:hAnsi="Tahoma" w:cs="Tahoma"/>
                <w:color w:val="222222"/>
                <w:sz w:val="21"/>
                <w:szCs w:val="21"/>
              </w:rPr>
              <w:t>.)</w:t>
            </w:r>
          </w:p>
        </w:tc>
        <w:tc>
          <w:tcPr>
            <w:tcW w:w="1700" w:type="dxa"/>
            <w:tcBorders>
              <w:top w:val="single" w:sz="8" w:space="0" w:color="auto"/>
              <w:left w:val="nil"/>
              <w:bottom w:val="nil"/>
              <w:right w:val="single" w:sz="8" w:space="0" w:color="000000"/>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lang w:val="ru-RU"/>
              </w:rPr>
            </w:pPr>
            <w:r w:rsidRPr="009D577C">
              <w:rPr>
                <w:rFonts w:ascii="Tahoma" w:eastAsia="Times New Roman" w:hAnsi="Tahoma" w:cs="Tahoma"/>
                <w:color w:val="222222"/>
                <w:sz w:val="21"/>
                <w:szCs w:val="21"/>
                <w:lang w:val="ru-RU"/>
              </w:rPr>
              <w:t>Загальна вартість спожитих енергоресурсів (тис.грн.)</w:t>
            </w:r>
          </w:p>
        </w:tc>
      </w:tr>
      <w:tr w:rsidR="009D577C" w:rsidRPr="009D577C" w:rsidTr="009D577C">
        <w:trPr>
          <w:trHeight w:val="270"/>
        </w:trPr>
        <w:tc>
          <w:tcPr>
            <w:tcW w:w="15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lastRenderedPageBreak/>
              <w:t>1</w:t>
            </w:r>
          </w:p>
        </w:tc>
        <w:tc>
          <w:tcPr>
            <w:tcW w:w="198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Електроенергія</w:t>
            </w:r>
            <w:proofErr w:type="spellEnd"/>
          </w:p>
        </w:tc>
        <w:tc>
          <w:tcPr>
            <w:tcW w:w="170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тис</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кВт</w:t>
            </w:r>
            <w:proofErr w:type="spellEnd"/>
            <w:r w:rsidRPr="009D577C">
              <w:rPr>
                <w:rFonts w:ascii="Tahoma" w:eastAsia="Times New Roman" w:hAnsi="Tahoma" w:cs="Tahoma"/>
                <w:color w:val="222222"/>
                <w:sz w:val="21"/>
                <w:szCs w:val="21"/>
              </w:rPr>
              <w:t>/</w:t>
            </w:r>
            <w:proofErr w:type="spellStart"/>
            <w:r w:rsidRPr="009D577C">
              <w:rPr>
                <w:rFonts w:ascii="Tahoma" w:eastAsia="Times New Roman" w:hAnsi="Tahoma" w:cs="Tahoma"/>
                <w:color w:val="222222"/>
                <w:sz w:val="21"/>
                <w:szCs w:val="21"/>
              </w:rPr>
              <w:t>год</w:t>
            </w:r>
            <w:proofErr w:type="spellEnd"/>
          </w:p>
        </w:tc>
        <w:tc>
          <w:tcPr>
            <w:tcW w:w="25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2565,6</w:t>
            </w:r>
          </w:p>
        </w:tc>
        <w:tc>
          <w:tcPr>
            <w:tcW w:w="170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8131,3</w:t>
            </w:r>
          </w:p>
        </w:tc>
      </w:tr>
      <w:tr w:rsidR="009D577C" w:rsidRPr="009D577C" w:rsidTr="009D577C">
        <w:trPr>
          <w:trHeight w:val="204"/>
        </w:trPr>
        <w:tc>
          <w:tcPr>
            <w:tcW w:w="15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2</w:t>
            </w:r>
          </w:p>
        </w:tc>
        <w:tc>
          <w:tcPr>
            <w:tcW w:w="198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Газ</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природний</w:t>
            </w:r>
            <w:proofErr w:type="spellEnd"/>
          </w:p>
        </w:tc>
        <w:tc>
          <w:tcPr>
            <w:tcW w:w="170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тис.куб.м</w:t>
            </w:r>
            <w:proofErr w:type="spellEnd"/>
          </w:p>
        </w:tc>
        <w:tc>
          <w:tcPr>
            <w:tcW w:w="25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445,1</w:t>
            </w:r>
          </w:p>
        </w:tc>
        <w:tc>
          <w:tcPr>
            <w:tcW w:w="17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3761,0</w:t>
            </w:r>
          </w:p>
        </w:tc>
      </w:tr>
      <w:tr w:rsidR="009D577C" w:rsidRPr="009D577C" w:rsidTr="009D577C">
        <w:trPr>
          <w:trHeight w:val="263"/>
        </w:trPr>
        <w:tc>
          <w:tcPr>
            <w:tcW w:w="15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3</w:t>
            </w:r>
          </w:p>
        </w:tc>
        <w:tc>
          <w:tcPr>
            <w:tcW w:w="198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Водопостачання</w:t>
            </w:r>
            <w:proofErr w:type="spellEnd"/>
            <w:r w:rsidRPr="009D577C">
              <w:rPr>
                <w:rFonts w:ascii="Tahoma" w:eastAsia="Times New Roman" w:hAnsi="Tahoma" w:cs="Tahoma"/>
                <w:color w:val="222222"/>
                <w:sz w:val="21"/>
                <w:szCs w:val="21"/>
              </w:rPr>
              <w:t>/</w:t>
            </w:r>
            <w:proofErr w:type="spellStart"/>
            <w:r w:rsidRPr="009D577C">
              <w:rPr>
                <w:rFonts w:ascii="Tahoma" w:eastAsia="Times New Roman" w:hAnsi="Tahoma" w:cs="Tahoma"/>
                <w:color w:val="222222"/>
                <w:sz w:val="21"/>
                <w:szCs w:val="21"/>
              </w:rPr>
              <w:t>водовідведення</w:t>
            </w:r>
            <w:proofErr w:type="spellEnd"/>
          </w:p>
        </w:tc>
        <w:tc>
          <w:tcPr>
            <w:tcW w:w="170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тис.куб.м</w:t>
            </w:r>
            <w:proofErr w:type="spellEnd"/>
          </w:p>
        </w:tc>
        <w:tc>
          <w:tcPr>
            <w:tcW w:w="25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75,9</w:t>
            </w:r>
          </w:p>
        </w:tc>
        <w:tc>
          <w:tcPr>
            <w:tcW w:w="17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1892,9</w:t>
            </w:r>
          </w:p>
        </w:tc>
      </w:tr>
      <w:tr w:rsidR="009D577C" w:rsidRPr="009D577C" w:rsidTr="009D577C">
        <w:trPr>
          <w:trHeight w:val="258"/>
        </w:trPr>
        <w:tc>
          <w:tcPr>
            <w:tcW w:w="15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4</w:t>
            </w:r>
          </w:p>
        </w:tc>
        <w:tc>
          <w:tcPr>
            <w:tcW w:w="1985"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Теплоенергія</w:t>
            </w:r>
            <w:proofErr w:type="spellEnd"/>
          </w:p>
        </w:tc>
        <w:tc>
          <w:tcPr>
            <w:tcW w:w="170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Гкал</w:t>
            </w:r>
            <w:proofErr w:type="spellEnd"/>
          </w:p>
        </w:tc>
        <w:tc>
          <w:tcPr>
            <w:tcW w:w="25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6269,4</w:t>
            </w:r>
          </w:p>
        </w:tc>
        <w:tc>
          <w:tcPr>
            <w:tcW w:w="17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21675,1</w:t>
            </w:r>
          </w:p>
        </w:tc>
      </w:tr>
      <w:tr w:rsidR="009D577C" w:rsidRPr="009D577C" w:rsidTr="009D577C">
        <w:trPr>
          <w:trHeight w:val="281"/>
        </w:trPr>
        <w:tc>
          <w:tcPr>
            <w:tcW w:w="15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5</w:t>
            </w:r>
          </w:p>
        </w:tc>
        <w:tc>
          <w:tcPr>
            <w:tcW w:w="1985"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Вугілля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брикети</w:t>
            </w:r>
            <w:proofErr w:type="spellEnd"/>
          </w:p>
        </w:tc>
        <w:tc>
          <w:tcPr>
            <w:tcW w:w="170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тони</w:t>
            </w:r>
            <w:proofErr w:type="spellEnd"/>
          </w:p>
        </w:tc>
        <w:tc>
          <w:tcPr>
            <w:tcW w:w="25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357,6</w:t>
            </w:r>
          </w:p>
        </w:tc>
        <w:tc>
          <w:tcPr>
            <w:tcW w:w="17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1214,5</w:t>
            </w:r>
          </w:p>
        </w:tc>
      </w:tr>
      <w:tr w:rsidR="009D577C" w:rsidRPr="009D577C" w:rsidTr="009D577C">
        <w:trPr>
          <w:trHeight w:val="179"/>
        </w:trPr>
        <w:tc>
          <w:tcPr>
            <w:tcW w:w="156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6</w:t>
            </w:r>
          </w:p>
        </w:tc>
        <w:tc>
          <w:tcPr>
            <w:tcW w:w="1985" w:type="dxa"/>
            <w:tcBorders>
              <w:top w:val="nil"/>
              <w:left w:val="nil"/>
              <w:bottom w:val="single" w:sz="8" w:space="0" w:color="auto"/>
              <w:right w:val="single" w:sz="8" w:space="0" w:color="auto"/>
            </w:tcBorders>
            <w:shd w:val="clear" w:color="auto" w:fill="FFFFFF"/>
            <w:noWrap/>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Всього</w:t>
            </w:r>
            <w:proofErr w:type="spellEnd"/>
          </w:p>
        </w:tc>
        <w:tc>
          <w:tcPr>
            <w:tcW w:w="170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w:t>
            </w:r>
          </w:p>
        </w:tc>
        <w:tc>
          <w:tcPr>
            <w:tcW w:w="2551"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w:t>
            </w:r>
          </w:p>
        </w:tc>
        <w:tc>
          <w:tcPr>
            <w:tcW w:w="170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9D577C" w:rsidRPr="009D577C" w:rsidRDefault="009D577C" w:rsidP="009D577C">
            <w:pPr>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36674,8</w:t>
            </w:r>
          </w:p>
        </w:tc>
      </w:tr>
    </w:tbl>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rPr>
      </w:pPr>
      <w:proofErr w:type="spellStart"/>
      <w:r w:rsidRPr="009D577C">
        <w:rPr>
          <w:rFonts w:ascii="Tahoma" w:eastAsia="Times New Roman" w:hAnsi="Tahoma" w:cs="Tahoma"/>
          <w:color w:val="222222"/>
          <w:sz w:val="21"/>
          <w:szCs w:val="21"/>
        </w:rPr>
        <w:t>Аналіз</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споживання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бюджетними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установами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закладами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Первомайської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міської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територіальної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громади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показав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що</w:t>
      </w:r>
      <w:proofErr w:type="spellEnd"/>
      <w:r w:rsidRPr="009D577C">
        <w:rPr>
          <w:rFonts w:ascii="Tahoma" w:eastAsia="Times New Roman" w:hAnsi="Tahoma" w:cs="Tahoma"/>
          <w:color w:val="222222"/>
          <w:sz w:val="21"/>
          <w:szCs w:val="21"/>
        </w:rPr>
        <w:t xml:space="preserve"> в </w:t>
      </w:r>
      <w:proofErr w:type="spellStart"/>
      <w:r w:rsidRPr="009D577C">
        <w:rPr>
          <w:rFonts w:ascii="Tahoma" w:eastAsia="Times New Roman" w:hAnsi="Tahoma" w:cs="Tahoma"/>
          <w:color w:val="222222"/>
          <w:sz w:val="21"/>
          <w:szCs w:val="21"/>
        </w:rPr>
        <w:t>загальній</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вартості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спожитих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за</w:t>
      </w:r>
      <w:proofErr w:type="spellEnd"/>
      <w:r w:rsidRPr="009D577C">
        <w:rPr>
          <w:rFonts w:ascii="Tahoma" w:eastAsia="Times New Roman" w:hAnsi="Tahoma" w:cs="Tahoma"/>
          <w:color w:val="222222"/>
          <w:sz w:val="21"/>
          <w:szCs w:val="21"/>
        </w:rPr>
        <w:t xml:space="preserve"> 9 </w:t>
      </w:r>
      <w:proofErr w:type="spellStart"/>
      <w:r w:rsidRPr="009D577C">
        <w:rPr>
          <w:rFonts w:ascii="Tahoma" w:eastAsia="Times New Roman" w:hAnsi="Tahoma" w:cs="Tahoma"/>
          <w:color w:val="222222"/>
          <w:sz w:val="21"/>
          <w:szCs w:val="21"/>
        </w:rPr>
        <w:t>місяців</w:t>
      </w:r>
      <w:proofErr w:type="spellEnd"/>
      <w:r w:rsidRPr="009D577C">
        <w:rPr>
          <w:rFonts w:ascii="Tahoma" w:eastAsia="Times New Roman" w:hAnsi="Tahoma" w:cs="Tahoma"/>
          <w:color w:val="222222"/>
          <w:sz w:val="21"/>
          <w:szCs w:val="21"/>
        </w:rPr>
        <w:t xml:space="preserve"> 2021 </w:t>
      </w:r>
      <w:proofErr w:type="spellStart"/>
      <w:r w:rsidRPr="009D577C">
        <w:rPr>
          <w:rFonts w:ascii="Tahoma" w:eastAsia="Times New Roman" w:hAnsi="Tahoma" w:cs="Tahoma"/>
          <w:color w:val="222222"/>
          <w:sz w:val="21"/>
          <w:szCs w:val="21"/>
        </w:rPr>
        <w:t>року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питома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вага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витрат</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оплату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теплоенергії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становить</w:t>
      </w:r>
      <w:proofErr w:type="spellEnd"/>
      <w:r w:rsidRPr="009D577C">
        <w:rPr>
          <w:rFonts w:ascii="Tahoma" w:eastAsia="Times New Roman" w:hAnsi="Tahoma" w:cs="Tahoma"/>
          <w:color w:val="222222"/>
          <w:sz w:val="21"/>
          <w:szCs w:val="21"/>
        </w:rPr>
        <w:t xml:space="preserve"> 59,1%, </w:t>
      </w:r>
      <w:proofErr w:type="spellStart"/>
      <w:r w:rsidRPr="009D577C">
        <w:rPr>
          <w:rFonts w:ascii="Tahoma" w:eastAsia="Times New Roman" w:hAnsi="Tahoma" w:cs="Tahoma"/>
          <w:color w:val="222222"/>
          <w:sz w:val="21"/>
          <w:szCs w:val="21"/>
        </w:rPr>
        <w:t>електроенергії</w:t>
      </w:r>
      <w:proofErr w:type="spellEnd"/>
      <w:r w:rsidRPr="009D577C">
        <w:rPr>
          <w:rFonts w:ascii="Tahoma" w:eastAsia="Times New Roman" w:hAnsi="Tahoma" w:cs="Tahoma"/>
          <w:color w:val="222222"/>
          <w:sz w:val="21"/>
          <w:szCs w:val="21"/>
        </w:rPr>
        <w:t xml:space="preserve"> – 22,2%,  </w:t>
      </w:r>
      <w:proofErr w:type="spellStart"/>
      <w:r w:rsidRPr="009D577C">
        <w:rPr>
          <w:rFonts w:ascii="Tahoma" w:eastAsia="Times New Roman" w:hAnsi="Tahoma" w:cs="Tahoma"/>
          <w:color w:val="222222"/>
          <w:sz w:val="21"/>
          <w:szCs w:val="21"/>
        </w:rPr>
        <w:t>природного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газу</w:t>
      </w:r>
      <w:proofErr w:type="spellEnd"/>
      <w:r w:rsidRPr="009D577C">
        <w:rPr>
          <w:rFonts w:ascii="Tahoma" w:eastAsia="Times New Roman" w:hAnsi="Tahoma" w:cs="Tahoma"/>
          <w:color w:val="222222"/>
          <w:sz w:val="21"/>
          <w:szCs w:val="21"/>
        </w:rPr>
        <w:t xml:space="preserve"> – 10,2%, </w:t>
      </w:r>
      <w:proofErr w:type="spellStart"/>
      <w:r w:rsidRPr="009D577C">
        <w:rPr>
          <w:rFonts w:ascii="Tahoma" w:eastAsia="Times New Roman" w:hAnsi="Tahoma" w:cs="Tahoma"/>
          <w:color w:val="222222"/>
          <w:sz w:val="21"/>
          <w:szCs w:val="21"/>
        </w:rPr>
        <w:t>води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стоків</w:t>
      </w:r>
      <w:proofErr w:type="spellEnd"/>
      <w:r w:rsidRPr="009D577C">
        <w:rPr>
          <w:rFonts w:ascii="Tahoma" w:eastAsia="Times New Roman" w:hAnsi="Tahoma" w:cs="Tahoma"/>
          <w:color w:val="222222"/>
          <w:sz w:val="21"/>
          <w:szCs w:val="21"/>
        </w:rPr>
        <w:t xml:space="preserve"> – 5,2%, </w:t>
      </w:r>
      <w:proofErr w:type="spellStart"/>
      <w:r w:rsidRPr="009D577C">
        <w:rPr>
          <w:rFonts w:ascii="Tahoma" w:eastAsia="Times New Roman" w:hAnsi="Tahoma" w:cs="Tahoma"/>
          <w:color w:val="222222"/>
          <w:sz w:val="21"/>
          <w:szCs w:val="21"/>
        </w:rPr>
        <w:t>вугілля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пелети</w:t>
      </w:r>
      <w:proofErr w:type="spellEnd"/>
      <w:r w:rsidRPr="009D577C">
        <w:rPr>
          <w:rFonts w:ascii="Tahoma" w:eastAsia="Times New Roman" w:hAnsi="Tahoma" w:cs="Tahoma"/>
          <w:color w:val="222222"/>
          <w:sz w:val="21"/>
          <w:szCs w:val="21"/>
        </w:rPr>
        <w:t xml:space="preserve"> – 3,3%.</w:t>
      </w:r>
    </w:p>
    <w:p w:rsidR="009D577C" w:rsidRPr="009D577C" w:rsidRDefault="009D577C" w:rsidP="009D577C">
      <w:pPr>
        <w:shd w:val="clear" w:color="auto" w:fill="FFFFFF"/>
        <w:spacing w:after="150" w:line="240" w:lineRule="auto"/>
        <w:jc w:val="both"/>
        <w:rPr>
          <w:rFonts w:ascii="Tahoma" w:eastAsia="Times New Roman" w:hAnsi="Tahoma" w:cs="Tahoma"/>
          <w:color w:val="222222"/>
          <w:sz w:val="21"/>
          <w:szCs w:val="21"/>
        </w:rPr>
      </w:pPr>
      <w:r w:rsidRPr="009D577C">
        <w:rPr>
          <w:rFonts w:ascii="Tahoma" w:eastAsia="Times New Roman" w:hAnsi="Tahoma" w:cs="Tahoma"/>
          <w:color w:val="222222"/>
          <w:sz w:val="21"/>
          <w:szCs w:val="21"/>
        </w:rPr>
        <w:t xml:space="preserve">В </w:t>
      </w:r>
      <w:proofErr w:type="spellStart"/>
      <w:r w:rsidRPr="009D577C">
        <w:rPr>
          <w:rFonts w:ascii="Tahoma" w:eastAsia="Times New Roman" w:hAnsi="Tahoma" w:cs="Tahoma"/>
          <w:color w:val="222222"/>
          <w:sz w:val="21"/>
          <w:szCs w:val="21"/>
        </w:rPr>
        <w:t>ході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аналізу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встановлено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що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витрати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споживання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залежать</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впливу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декількох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факторів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розміру</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тарифів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на</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питомих</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витрат</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енергоресурсів</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на</w:t>
      </w:r>
      <w:proofErr w:type="spellEnd"/>
      <w:r w:rsidRPr="009D577C">
        <w:rPr>
          <w:rFonts w:ascii="Tahoma" w:eastAsia="Times New Roman" w:hAnsi="Tahoma" w:cs="Tahoma"/>
          <w:color w:val="222222"/>
          <w:sz w:val="21"/>
          <w:szCs w:val="21"/>
        </w:rPr>
        <w:t xml:space="preserve"> 1 м² </w:t>
      </w:r>
      <w:proofErr w:type="spellStart"/>
      <w:r w:rsidRPr="009D577C">
        <w:rPr>
          <w:rFonts w:ascii="Tahoma" w:eastAsia="Times New Roman" w:hAnsi="Tahoma" w:cs="Tahoma"/>
          <w:color w:val="222222"/>
          <w:sz w:val="21"/>
          <w:szCs w:val="21"/>
        </w:rPr>
        <w:t>загальної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площі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загальної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або</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опалювальної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площі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приміщення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від</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зовнішньої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температури</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повітря</w:t>
      </w:r>
      <w:proofErr w:type="spellEnd"/>
      <w:r w:rsidRPr="009D577C">
        <w:rPr>
          <w:rFonts w:ascii="Tahoma" w:eastAsia="Times New Roman" w:hAnsi="Tahoma" w:cs="Tahoma"/>
          <w:color w:val="222222"/>
          <w:sz w:val="21"/>
          <w:szCs w:val="21"/>
        </w:rPr>
        <w:t xml:space="preserve"> в </w:t>
      </w:r>
      <w:proofErr w:type="spellStart"/>
      <w:r w:rsidRPr="009D577C">
        <w:rPr>
          <w:rFonts w:ascii="Tahoma" w:eastAsia="Times New Roman" w:hAnsi="Tahoma" w:cs="Tahoma"/>
          <w:color w:val="222222"/>
          <w:sz w:val="21"/>
          <w:szCs w:val="21"/>
        </w:rPr>
        <w:t>опалювальний</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період</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зниження</w:t>
      </w:r>
      <w:proofErr w:type="spellEnd"/>
      <w:r w:rsidRPr="009D577C">
        <w:rPr>
          <w:rFonts w:ascii="Tahoma" w:eastAsia="Times New Roman" w:hAnsi="Tahoma" w:cs="Tahoma"/>
          <w:color w:val="222222"/>
          <w:sz w:val="21"/>
          <w:szCs w:val="21"/>
        </w:rPr>
        <w:t>/</w:t>
      </w:r>
      <w:proofErr w:type="spellStart"/>
      <w:r w:rsidRPr="009D577C">
        <w:rPr>
          <w:rFonts w:ascii="Tahoma" w:eastAsia="Times New Roman" w:hAnsi="Tahoma" w:cs="Tahoma"/>
          <w:color w:val="222222"/>
          <w:sz w:val="21"/>
          <w:szCs w:val="21"/>
        </w:rPr>
        <w:t>підвищення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рівня</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енергетичної</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ефективності</w:t>
      </w:r>
      <w:proofErr w:type="spellEnd"/>
      <w:r w:rsidRPr="009D577C">
        <w:rPr>
          <w:rFonts w:ascii="Tahoma" w:eastAsia="Times New Roman" w:hAnsi="Tahoma" w:cs="Tahoma"/>
          <w:color w:val="222222"/>
          <w:sz w:val="21"/>
          <w:szCs w:val="21"/>
        </w:rPr>
        <w:t xml:space="preserve"> </w:t>
      </w:r>
      <w:proofErr w:type="spellStart"/>
      <w:r w:rsidRPr="009D577C">
        <w:rPr>
          <w:rFonts w:ascii="Tahoma" w:eastAsia="Times New Roman" w:hAnsi="Tahoma" w:cs="Tahoma"/>
          <w:color w:val="222222"/>
          <w:sz w:val="21"/>
          <w:szCs w:val="21"/>
        </w:rPr>
        <w:t>будівель</w:t>
      </w:r>
      <w:proofErr w:type="spellEnd"/>
      <w:r w:rsidRPr="009D577C">
        <w:rPr>
          <w:rFonts w:ascii="Tahoma" w:eastAsia="Times New Roman" w:hAnsi="Tahoma" w:cs="Tahoma"/>
          <w:color w:val="222222"/>
          <w:sz w:val="21"/>
          <w:szCs w:val="21"/>
        </w:rPr>
        <w:t>.</w:t>
      </w:r>
    </w:p>
    <w:p w:rsidR="00E01FAB" w:rsidRDefault="00E01FAB">
      <w:bookmarkStart w:id="0" w:name="_GoBack"/>
      <w:bookmarkEnd w:id="0"/>
    </w:p>
    <w:sectPr w:rsidR="00E01FA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7C"/>
    <w:rsid w:val="009D577C"/>
    <w:rsid w:val="00E0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DEFA8-C596-4306-BAAE-87B97554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57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577C"/>
    <w:rPr>
      <w:b/>
      <w:bCs/>
    </w:rPr>
  </w:style>
  <w:style w:type="character" w:styleId="a5">
    <w:name w:val="Hyperlink"/>
    <w:basedOn w:val="a0"/>
    <w:uiPriority w:val="99"/>
    <w:semiHidden/>
    <w:unhideWhenUsed/>
    <w:rsid w:val="009D5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4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dc:creator>
  <cp:keywords/>
  <dc:description/>
  <cp:lastModifiedBy>Jury</cp:lastModifiedBy>
  <cp:revision>1</cp:revision>
  <dcterms:created xsi:type="dcterms:W3CDTF">2023-03-15T08:45:00Z</dcterms:created>
  <dcterms:modified xsi:type="dcterms:W3CDTF">2023-03-15T08:45:00Z</dcterms:modified>
</cp:coreProperties>
</file>