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56" w:rsidRPr="006A0FA8" w:rsidRDefault="00246319" w:rsidP="00B538D4">
      <w:pPr>
        <w:pStyle w:val="a6"/>
        <w:ind w:left="-567"/>
        <w:rPr>
          <w:b/>
          <w:color w:val="632423" w:themeColor="accent2" w:themeShade="80"/>
        </w:rPr>
      </w:pPr>
      <w:r>
        <w:rPr>
          <w:b/>
          <w:color w:val="632423" w:themeColor="accent2" w:themeShade="80"/>
          <w:lang w:val="uk-UA"/>
        </w:rPr>
        <w:t>Вимоги чинного законодавства</w:t>
      </w:r>
      <w:r w:rsidR="00990A56" w:rsidRPr="006A0FA8">
        <w:rPr>
          <w:b/>
          <w:color w:val="632423" w:themeColor="accent2" w:themeShade="80"/>
          <w:lang w:val="uk-UA"/>
        </w:rPr>
        <w:t>, обов'язкові для виконання в галузі бджільництва</w:t>
      </w:r>
      <w:r w:rsidR="00B538D4">
        <w:rPr>
          <w:b/>
          <w:color w:val="632423" w:themeColor="accent2" w:themeShade="80"/>
          <w:lang w:val="uk-UA"/>
        </w:rPr>
        <w:t xml:space="preserve"> та недопущення можливого отруєння бджіл</w:t>
      </w:r>
      <w:r w:rsidR="00990A56" w:rsidRPr="006A0FA8">
        <w:rPr>
          <w:b/>
          <w:color w:val="632423" w:themeColor="accent2" w:themeShade="80"/>
          <w:lang w:val="uk-UA"/>
        </w:rPr>
        <w:t>.</w:t>
      </w:r>
    </w:p>
    <w:p w:rsidR="00990A56" w:rsidRPr="006A0FA8" w:rsidRDefault="00990A56" w:rsidP="00B538D4">
      <w:pPr>
        <w:pStyle w:val="a6"/>
        <w:ind w:left="-567"/>
        <w:rPr>
          <w:b/>
          <w:color w:val="632423" w:themeColor="accent2" w:themeShade="80"/>
        </w:rPr>
      </w:pPr>
      <w:r w:rsidRPr="006A0FA8">
        <w:rPr>
          <w:b/>
          <w:color w:val="632423" w:themeColor="accent2" w:themeShade="80"/>
          <w:lang w:val="uk-UA"/>
        </w:rPr>
        <w:t>Алгоритм дій при отруєні бджіл.</w:t>
      </w:r>
    </w:p>
    <w:p w:rsidR="00990A56" w:rsidRPr="00990A56" w:rsidRDefault="00990A56" w:rsidP="00B538D4">
      <w:pPr>
        <w:ind w:left="-567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990A5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81475" cy="2205834"/>
            <wp:effectExtent l="19050" t="0" r="9525" b="0"/>
            <wp:docPr id="2" name="Рисунок 1" descr="ÐÐ°ÑÑÐ¸Ð½ÐºÐ¸ Ð¿Ð¾ Ð·Ð°Ð¿ÑÐ¾ÑÑ Ð¾ÑÑÑÑÐ½Ð½Ñ Ð±Ð´Ð¶Ñ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ÑÑÑÐ½Ð½Ñ Ð±Ð´Ð¶ÑÐ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0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56" w:rsidRPr="00B538D4" w:rsidRDefault="005B17DA" w:rsidP="00B538D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B538D4">
        <w:rPr>
          <w:rFonts w:ascii="Times New Roman" w:hAnsi="Times New Roman" w:cs="Times New Roman"/>
          <w:b/>
          <w:bCs/>
          <w:sz w:val="32"/>
          <w:lang w:val="uk-UA"/>
        </w:rPr>
        <w:t>Перелік обов’язкових нормативно-правових актів</w:t>
      </w:r>
      <w:r w:rsidR="00990A56" w:rsidRPr="00B538D4">
        <w:rPr>
          <w:rFonts w:ascii="Times New Roman" w:hAnsi="Times New Roman" w:cs="Times New Roman"/>
          <w:b/>
          <w:bCs/>
          <w:sz w:val="32"/>
          <w:lang w:val="uk-UA"/>
        </w:rPr>
        <w:t>:</w:t>
      </w:r>
    </w:p>
    <w:p w:rsidR="00990A56" w:rsidRPr="006A0FA8" w:rsidRDefault="00990A56" w:rsidP="00B538D4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ЗАКОН УКРАЇНИ «Про бджільництво» (</w:t>
      </w:r>
      <w:r w:rsidRPr="006A0FA8">
        <w:rPr>
          <w:rFonts w:ascii="Times New Roman" w:hAnsi="Times New Roman" w:cs="Times New Roman"/>
          <w:bCs/>
          <w:sz w:val="24"/>
        </w:rPr>
        <w:t>22 лютого 2000 року N 1492-III)</w:t>
      </w:r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</w:p>
    <w:p w:rsidR="00990A56" w:rsidRPr="006A0FA8" w:rsidRDefault="00990A56" w:rsidP="00B538D4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ІНСТРУКЦІЯ щодо попередження та ліквідації хвороб і отруєнь бджіл (Наказ Головного державного інспектора ветеринарної медицини від 30.01.2001 № 9 Зареєстровано в Міністерстві юстиції України від 12.02.2001 №131/5322)</w:t>
      </w:r>
      <w:r w:rsidRPr="006A0FA8">
        <w:rPr>
          <w:rFonts w:ascii="Times New Roman" w:hAnsi="Times New Roman" w:cs="Times New Roman"/>
          <w:bCs/>
          <w:sz w:val="24"/>
        </w:rPr>
        <w:t xml:space="preserve"> </w:t>
      </w:r>
    </w:p>
    <w:p w:rsidR="00990A56" w:rsidRPr="006A0FA8" w:rsidRDefault="00990A56" w:rsidP="00B538D4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ІНСТРУКЦІЯ по профілактиці отруєнь бджіл пестицидами (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государственная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ветеринарная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инспекция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Главного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управления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ветеринарии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Государственого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агропром</w:t>
      </w:r>
      <w:r w:rsidRPr="006A0FA8">
        <w:rPr>
          <w:rFonts w:ascii="Times New Roman" w:hAnsi="Times New Roman" w:cs="Times New Roman"/>
          <w:bCs/>
          <w:sz w:val="24"/>
        </w:rPr>
        <w:t>ышленого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комитета СССР от 14.06.1989</w:t>
      </w:r>
      <w:r w:rsidRPr="006A0FA8">
        <w:rPr>
          <w:rFonts w:ascii="Times New Roman" w:hAnsi="Times New Roman" w:cs="Times New Roman"/>
          <w:bCs/>
          <w:sz w:val="24"/>
          <w:lang w:val="uk-UA"/>
        </w:rPr>
        <w:t>)</w:t>
      </w:r>
      <w:r w:rsidRPr="006A0FA8">
        <w:rPr>
          <w:rFonts w:ascii="Times New Roman" w:hAnsi="Times New Roman" w:cs="Times New Roman"/>
          <w:bCs/>
          <w:sz w:val="24"/>
        </w:rPr>
        <w:t xml:space="preserve"> </w:t>
      </w:r>
    </w:p>
    <w:p w:rsidR="00990A56" w:rsidRPr="006A0FA8" w:rsidRDefault="00990A56" w:rsidP="00B538D4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ПОРЯДОК реєстрації пасіки (наказ Міністерства аграрної політики України і Української академії аграрних наук 20.09.2000 №184/82)</w:t>
      </w:r>
      <w:r w:rsidRPr="006A0FA8">
        <w:rPr>
          <w:rFonts w:ascii="Times New Roman" w:hAnsi="Times New Roman" w:cs="Times New Roman"/>
          <w:bCs/>
          <w:sz w:val="24"/>
        </w:rPr>
        <w:t xml:space="preserve"> </w:t>
      </w:r>
    </w:p>
    <w:p w:rsidR="00990A56" w:rsidRPr="006A0FA8" w:rsidRDefault="00990A56" w:rsidP="00B538D4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ПОРЯДОК видачі ветеринарно-санітарного паспорту пасіки (наказ Міністерства аграрної політики України і Української академії аграрних наук 20.09.2000 №184/82)</w:t>
      </w:r>
      <w:r w:rsidRPr="006A0FA8">
        <w:rPr>
          <w:rFonts w:ascii="Times New Roman" w:hAnsi="Times New Roman" w:cs="Times New Roman"/>
          <w:bCs/>
          <w:sz w:val="24"/>
        </w:rPr>
        <w:t xml:space="preserve"> </w:t>
      </w:r>
    </w:p>
    <w:p w:rsidR="00990A56" w:rsidRPr="006A0FA8" w:rsidRDefault="00990A56" w:rsidP="00B538D4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ПРАВИЛА відбору зразків патологічного матеріалу, крові, кормів, води та пересилання їх для лабораторного дослідження (затверджених Головним управлінням ветеринарної медицини Мінсільгосппроду України 15.04.1997р. № 15-14/111)</w:t>
      </w:r>
      <w:r w:rsidRPr="006A0FA8">
        <w:rPr>
          <w:rFonts w:ascii="Times New Roman" w:hAnsi="Times New Roman" w:cs="Times New Roman"/>
          <w:bCs/>
          <w:sz w:val="24"/>
        </w:rPr>
        <w:t xml:space="preserve"> </w:t>
      </w:r>
    </w:p>
    <w:p w:rsidR="00990A56" w:rsidRPr="006A0FA8" w:rsidRDefault="00990A56" w:rsidP="00B538D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</w:rPr>
      </w:pPr>
    </w:p>
    <w:p w:rsidR="00990A56" w:rsidRPr="006A0FA8" w:rsidRDefault="005B17DA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Першочергово</w:t>
      </w:r>
      <w:r w:rsidR="00B538D4">
        <w:rPr>
          <w:rFonts w:ascii="Times New Roman" w:hAnsi="Times New Roman" w:cs="Times New Roman"/>
          <w:b/>
          <w:bCs/>
          <w:sz w:val="24"/>
          <w:lang w:val="uk-UA"/>
        </w:rPr>
        <w:t>,</w:t>
      </w: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кожна пасіка повинна бути зареєстрована за місцем проживання фізичної особи або за місцем реєстрації юридичної особи у сільських, селищних, міських радах, ОТГ одноразово</w:t>
      </w:r>
      <w:r w:rsidR="00B538D4">
        <w:rPr>
          <w:rFonts w:ascii="Times New Roman" w:hAnsi="Times New Roman" w:cs="Times New Roman"/>
          <w:b/>
          <w:bCs/>
          <w:sz w:val="24"/>
          <w:lang w:val="uk-UA"/>
        </w:rPr>
        <w:t>,</w:t>
      </w: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у рік заснування пасіки</w:t>
      </w:r>
      <w:r w:rsidRPr="006A0FA8">
        <w:rPr>
          <w:rFonts w:ascii="Times New Roman" w:hAnsi="Times New Roman" w:cs="Times New Roman"/>
          <w:b/>
          <w:bCs/>
          <w:sz w:val="24"/>
        </w:rPr>
        <w:t xml:space="preserve"> </w:t>
      </w:r>
      <w:r w:rsidRPr="006A0FA8">
        <w:rPr>
          <w:rFonts w:ascii="Times New Roman" w:hAnsi="Times New Roman" w:cs="Times New Roman"/>
          <w:bCs/>
          <w:sz w:val="24"/>
        </w:rPr>
        <w:t xml:space="preserve">(ч.3 ст.13 Закону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«Про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бджільництво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», п.п.2,3 Порядку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реєстрації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пасік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затверджений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Наказом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Міністерства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аграрної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політики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і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Української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академії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аграрних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наук за №184/82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від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20.09.2000)</w:t>
      </w:r>
      <w:r w:rsidRPr="006A0FA8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F32900" w:rsidRPr="006A0FA8" w:rsidRDefault="005B17DA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На кожну пасіку повинен бути оформлений ветеринарно-санітарний паспорт пасіки</w:t>
      </w:r>
      <w:r w:rsidRPr="006A0FA8">
        <w:rPr>
          <w:rFonts w:ascii="Times New Roman" w:hAnsi="Times New Roman" w:cs="Times New Roman"/>
          <w:bCs/>
          <w:sz w:val="24"/>
        </w:rPr>
        <w:t xml:space="preserve">(ч.1 ст.13 Закону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«Про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бджільництво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», п.5 Порядку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реєстрації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пасік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затверджений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Наказом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Міністерства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аграрної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політики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і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Української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академії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аграрних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наук за №184/82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від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20.09.2000)</w:t>
      </w:r>
      <w:r w:rsidRPr="006A0FA8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065FB1" w:rsidRPr="006A0FA8" w:rsidRDefault="005B17DA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Також </w:t>
      </w:r>
      <w:r w:rsidR="00F32900" w:rsidRPr="006A0FA8">
        <w:rPr>
          <w:rFonts w:ascii="Times New Roman" w:hAnsi="Times New Roman" w:cs="Times New Roman"/>
          <w:b/>
          <w:bCs/>
          <w:sz w:val="24"/>
          <w:lang w:val="uk-UA"/>
        </w:rPr>
        <w:t>існує така вимога закону, як ДЕРЖАВНА РЕЄСТРАЦІЯ ОПЕРАТОРІВ РИНКУ</w:t>
      </w:r>
      <w:r w:rsidR="00F32900" w:rsidRPr="006A0FA8">
        <w:rPr>
          <w:rFonts w:ascii="Times New Roman" w:hAnsi="Times New Roman" w:cs="Times New Roman"/>
          <w:bCs/>
          <w:sz w:val="24"/>
          <w:lang w:val="uk-UA"/>
        </w:rPr>
        <w:t>(ст. 25 Закону України «</w:t>
      </w:r>
      <w:r w:rsidR="00F32900" w:rsidRPr="006A0FA8">
        <w:rPr>
          <w:rFonts w:ascii="Times New Roman" w:hAnsi="Times New Roman" w:cs="Times New Roman"/>
          <w:bCs/>
          <w:sz w:val="24"/>
        </w:rPr>
        <w:t xml:space="preserve">Про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основні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принципи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та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вимоги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до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безпечності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та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якості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харчових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продуктів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», порядок 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проведення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державної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реєстрації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потужностей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ведення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державного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реєстру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потужностей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операторів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ринку та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надання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інформації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з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нього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заінтересованим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суб'єктам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затверджений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наказом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Міністерства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аграрної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політики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 та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продовольства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32900"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="00F32900" w:rsidRPr="006A0FA8">
        <w:rPr>
          <w:rFonts w:ascii="Times New Roman" w:hAnsi="Times New Roman" w:cs="Times New Roman"/>
          <w:bCs/>
          <w:sz w:val="24"/>
        </w:rPr>
        <w:t xml:space="preserve"> 10.02.2016  № 39)</w:t>
      </w:r>
      <w:r w:rsidR="00F32900" w:rsidRPr="006A0FA8">
        <w:rPr>
          <w:rFonts w:ascii="Times New Roman" w:hAnsi="Times New Roman" w:cs="Times New Roman"/>
          <w:bCs/>
          <w:sz w:val="24"/>
          <w:lang w:val="uk-UA"/>
        </w:rPr>
        <w:t xml:space="preserve">.  Така реєстрація проводиться у міжрайонних, </w:t>
      </w:r>
      <w:r w:rsidR="00F32900" w:rsidRPr="006A0FA8">
        <w:rPr>
          <w:rFonts w:ascii="Times New Roman" w:hAnsi="Times New Roman" w:cs="Times New Roman"/>
          <w:bCs/>
          <w:sz w:val="24"/>
          <w:lang w:val="uk-UA"/>
        </w:rPr>
        <w:lastRenderedPageBreak/>
        <w:t>районних, міських управліннях Головного управління Держпродспоживслужби в області безкоштовно, згідно заяви</w:t>
      </w:r>
      <w:r w:rsidR="00065FB1" w:rsidRPr="006A0FA8">
        <w:rPr>
          <w:rFonts w:ascii="Times New Roman" w:hAnsi="Times New Roman" w:cs="Times New Roman"/>
          <w:sz w:val="24"/>
          <w:lang w:val="uk-UA"/>
        </w:rPr>
        <w:t xml:space="preserve"> встановленого зразка п 2.1 </w:t>
      </w:r>
      <w:r w:rsidR="00065FB1" w:rsidRPr="006A0FA8">
        <w:rPr>
          <w:rFonts w:ascii="Times New Roman" w:hAnsi="Times New Roman" w:cs="Times New Roman"/>
          <w:sz w:val="24"/>
        </w:rPr>
        <w:t xml:space="preserve">порядку 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проведення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державної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реєстрації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потужностей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ведення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державного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реєстру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потужностей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операторів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ринку та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надання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інформації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з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нього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заінтересованим</w:t>
      </w:r>
      <w:proofErr w:type="spellEnd"/>
      <w:r w:rsidR="00065FB1" w:rsidRPr="006A0F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FB1" w:rsidRPr="006A0FA8">
        <w:rPr>
          <w:rFonts w:ascii="Times New Roman" w:hAnsi="Times New Roman" w:cs="Times New Roman"/>
          <w:sz w:val="24"/>
        </w:rPr>
        <w:t>суб'єктам</w:t>
      </w:r>
      <w:proofErr w:type="spellEnd"/>
      <w:r w:rsidR="00F32900" w:rsidRPr="006A0FA8">
        <w:rPr>
          <w:rFonts w:ascii="Times New Roman" w:hAnsi="Times New Roman" w:cs="Times New Roman"/>
          <w:sz w:val="24"/>
          <w:lang w:val="uk-UA"/>
        </w:rPr>
        <w:t>.</w:t>
      </w:r>
      <w:r w:rsidR="00F32900"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065FB1" w:rsidRPr="006A0FA8">
        <w:rPr>
          <w:rFonts w:ascii="Times New Roman" w:hAnsi="Times New Roman" w:cs="Times New Roman"/>
          <w:bCs/>
          <w:sz w:val="24"/>
          <w:lang w:val="uk-UA"/>
        </w:rPr>
        <w:t>Р</w:t>
      </w:r>
      <w:r w:rsidR="006A0FA8">
        <w:rPr>
          <w:rFonts w:ascii="Times New Roman" w:hAnsi="Times New Roman" w:cs="Times New Roman"/>
          <w:bCs/>
          <w:sz w:val="24"/>
          <w:lang w:val="uk-UA"/>
        </w:rPr>
        <w:t xml:space="preserve">еєстрація </w:t>
      </w:r>
      <w:r w:rsidR="00065FB1" w:rsidRPr="006A0FA8">
        <w:rPr>
          <w:rFonts w:ascii="Times New Roman" w:hAnsi="Times New Roman" w:cs="Times New Roman"/>
          <w:bCs/>
          <w:sz w:val="24"/>
          <w:lang w:val="uk-UA"/>
        </w:rPr>
        <w:t xml:space="preserve">(операторів ринку) </w:t>
      </w:r>
      <w:proofErr w:type="spellStart"/>
      <w:r w:rsidR="006A0FA8">
        <w:rPr>
          <w:rFonts w:ascii="Times New Roman" w:hAnsi="Times New Roman" w:cs="Times New Roman"/>
          <w:bCs/>
          <w:sz w:val="24"/>
          <w:lang w:val="uk-UA"/>
        </w:rPr>
        <w:t>необовязкова</w:t>
      </w:r>
      <w:proofErr w:type="spellEnd"/>
      <w:r w:rsidR="00065FB1" w:rsidRPr="006A0FA8">
        <w:rPr>
          <w:rFonts w:ascii="Times New Roman" w:hAnsi="Times New Roman" w:cs="Times New Roman"/>
          <w:bCs/>
          <w:sz w:val="24"/>
          <w:lang w:val="uk-UA"/>
        </w:rPr>
        <w:t>, якщо пасічник використовує мед та продукти бджільництва для власних потреб без реалізації</w:t>
      </w:r>
      <w:r w:rsidR="00F32900" w:rsidRPr="006A0FA8">
        <w:rPr>
          <w:rFonts w:ascii="Times New Roman" w:hAnsi="Times New Roman" w:cs="Times New Roman"/>
          <w:bCs/>
          <w:sz w:val="24"/>
        </w:rPr>
        <w:t>.</w:t>
      </w:r>
    </w:p>
    <w:p w:rsidR="00F32900" w:rsidRPr="006A0FA8" w:rsidRDefault="00F32900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Розміщення пасіки фізичними та юридичними особами здійснюється відповідно до ветеринарно-санітарних правил </w:t>
      </w:r>
      <w:r w:rsidRPr="006A0FA8">
        <w:rPr>
          <w:rFonts w:ascii="Times New Roman" w:hAnsi="Times New Roman" w:cs="Times New Roman"/>
          <w:bCs/>
          <w:sz w:val="24"/>
        </w:rPr>
        <w:t xml:space="preserve">(ст.15 Закону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«Про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бджільництво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» п. 1.1 </w:t>
      </w:r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Інструкції щодо попередження та </w:t>
      </w:r>
      <w:proofErr w:type="gramStart"/>
      <w:r w:rsidRPr="006A0FA8">
        <w:rPr>
          <w:rFonts w:ascii="Times New Roman" w:hAnsi="Times New Roman" w:cs="Times New Roman"/>
          <w:bCs/>
          <w:sz w:val="24"/>
          <w:lang w:val="uk-UA"/>
        </w:rPr>
        <w:t>л</w:t>
      </w:r>
      <w:proofErr w:type="gramEnd"/>
      <w:r w:rsidRPr="006A0FA8">
        <w:rPr>
          <w:rFonts w:ascii="Times New Roman" w:hAnsi="Times New Roman" w:cs="Times New Roman"/>
          <w:bCs/>
          <w:sz w:val="24"/>
          <w:lang w:val="uk-UA"/>
        </w:rPr>
        <w:t>іквідації хвороб і отруєнь бджіл</w:t>
      </w:r>
      <w:r w:rsidRPr="006A0FA8">
        <w:rPr>
          <w:rFonts w:ascii="Times New Roman" w:hAnsi="Times New Roman" w:cs="Times New Roman"/>
          <w:bCs/>
          <w:sz w:val="24"/>
        </w:rPr>
        <w:t>)</w:t>
      </w:r>
      <w:r w:rsidRPr="006A0FA8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E143E1" w:rsidRDefault="005F2A9D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Перевезення (кочів</w:t>
      </w:r>
      <w:r w:rsidRPr="00202DE6">
        <w:rPr>
          <w:rFonts w:ascii="Times New Roman" w:hAnsi="Times New Roman" w:cs="Times New Roman"/>
          <w:b/>
          <w:bCs/>
          <w:sz w:val="24"/>
          <w:lang w:val="uk-UA"/>
        </w:rPr>
        <w:t>ля) бджіл на медозбір та запилення здійснюється</w:t>
      </w:r>
      <w:r w:rsidR="00202DE6" w:rsidRPr="00202DE6">
        <w:rPr>
          <w:rFonts w:ascii="Times New Roman" w:hAnsi="Times New Roman" w:cs="Times New Roman"/>
          <w:b/>
          <w:bCs/>
          <w:sz w:val="24"/>
          <w:lang w:val="uk-UA"/>
        </w:rPr>
        <w:t xml:space="preserve"> відповідно до ветеринарно-санітарних правил</w:t>
      </w:r>
      <w:r w:rsidR="00202DE6" w:rsidRPr="00202DE6">
        <w:rPr>
          <w:rFonts w:ascii="Times New Roman" w:hAnsi="Times New Roman" w:cs="Times New Roman"/>
          <w:bCs/>
          <w:sz w:val="24"/>
          <w:lang w:val="uk-UA"/>
        </w:rPr>
        <w:t xml:space="preserve"> за погодженням з власниками або користувачами земельних ділянок</w:t>
      </w:r>
      <w:r w:rsidR="00202DE6">
        <w:rPr>
          <w:rFonts w:ascii="Times New Roman" w:hAnsi="Times New Roman" w:cs="Times New Roman"/>
          <w:b/>
          <w:bCs/>
          <w:sz w:val="24"/>
          <w:lang w:val="uk-UA"/>
        </w:rPr>
        <w:t>,</w:t>
      </w: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202DE6">
        <w:rPr>
          <w:rFonts w:ascii="Times New Roman" w:hAnsi="Times New Roman" w:cs="Times New Roman"/>
          <w:bCs/>
          <w:sz w:val="24"/>
          <w:lang w:val="uk-UA"/>
        </w:rPr>
        <w:t>на підставі довідки або ветеринарного свідоцтва на перевезення бджолосімей, виданих державними районними лікарнями ветеринарної медицини</w:t>
      </w: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6A0FA8">
        <w:rPr>
          <w:rFonts w:ascii="Times New Roman" w:hAnsi="Times New Roman" w:cs="Times New Roman"/>
          <w:bCs/>
          <w:sz w:val="24"/>
        </w:rPr>
        <w:t xml:space="preserve">(п.3.5. </w:t>
      </w:r>
      <w:proofErr w:type="spellStart"/>
      <w:proofErr w:type="gramStart"/>
      <w:r w:rsidRPr="006A0FA8">
        <w:rPr>
          <w:rFonts w:ascii="Times New Roman" w:hAnsi="Times New Roman" w:cs="Times New Roman"/>
          <w:bCs/>
          <w:sz w:val="24"/>
        </w:rPr>
        <w:t>Інструкції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щодо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попередження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та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ліквідації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хвороб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і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отруєнь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бджіл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затвердженої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Наказом Головного державного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інспектора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ветеринарної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медицини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за №9 </w:t>
      </w:r>
      <w:proofErr w:type="spellStart"/>
      <w:r w:rsidRPr="006A0FA8">
        <w:rPr>
          <w:rFonts w:ascii="Times New Roman" w:hAnsi="Times New Roman" w:cs="Times New Roman"/>
          <w:bCs/>
          <w:sz w:val="24"/>
        </w:rPr>
        <w:t>від</w:t>
      </w:r>
      <w:proofErr w:type="spellEnd"/>
      <w:r w:rsidRPr="006A0FA8">
        <w:rPr>
          <w:rFonts w:ascii="Times New Roman" w:hAnsi="Times New Roman" w:cs="Times New Roman"/>
          <w:bCs/>
          <w:sz w:val="24"/>
        </w:rPr>
        <w:t xml:space="preserve"> 30.01.2001 року)</w:t>
      </w:r>
      <w:r w:rsidRPr="006A0FA8">
        <w:rPr>
          <w:rFonts w:ascii="Times New Roman" w:hAnsi="Times New Roman" w:cs="Times New Roman"/>
          <w:bCs/>
          <w:sz w:val="24"/>
          <w:lang w:val="uk-UA"/>
        </w:rPr>
        <w:t>.</w:t>
      </w:r>
      <w:proofErr w:type="gramEnd"/>
    </w:p>
    <w:p w:rsidR="00202DE6" w:rsidRDefault="00202DE6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202DE6">
        <w:rPr>
          <w:rFonts w:ascii="Times New Roman" w:hAnsi="Times New Roman" w:cs="Times New Roman"/>
          <w:bCs/>
          <w:sz w:val="24"/>
          <w:lang w:val="uk-UA"/>
        </w:rPr>
        <w:t>Власники пасік повинні обов’язково зареєструватись в сільській раді, на території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202DE6">
        <w:rPr>
          <w:rFonts w:ascii="Times New Roman" w:hAnsi="Times New Roman" w:cs="Times New Roman"/>
          <w:bCs/>
          <w:sz w:val="24"/>
          <w:lang w:val="uk-UA"/>
        </w:rPr>
        <w:t>якої вони знаходяться, своєчасно інформувати сільські ради, сусідні господарства про місця перебування своїх пасік на стаціонарі і при перевозках. Ветеринарно-санітарний паспорт пасіки є єдиним документом, що   свідчить про реєстрацію пасіки, він підтверджує факт, що власником пасіки є саме ви, а також те, що бджоли на пасіці є здоровими. Також доказом слугує довідка з сільської ради із зазначенням точної адреси та кількості бджолиних сімей.</w:t>
      </w:r>
    </w:p>
    <w:p w:rsidR="006A0FA8" w:rsidRDefault="006A0FA8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Профілактика отруєнь бджіл базується на беззаперечному дотриманні вимог ст. 30 Закону України "Про бджільництво"</w:t>
      </w:r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 від  2 лютого 2000  N  1492-III  (   1492-14   ),   суворому   дотриманні регламентацій  застосування  в  нав</w:t>
      </w:r>
      <w:r>
        <w:rPr>
          <w:rFonts w:ascii="Times New Roman" w:hAnsi="Times New Roman" w:cs="Times New Roman"/>
          <w:bCs/>
          <w:sz w:val="24"/>
          <w:lang w:val="uk-UA"/>
        </w:rPr>
        <w:t xml:space="preserve">колишньому середовищі токсичних </w:t>
      </w:r>
      <w:r w:rsidRPr="006A0FA8">
        <w:rPr>
          <w:rFonts w:ascii="Times New Roman" w:hAnsi="Times New Roman" w:cs="Times New Roman"/>
          <w:bCs/>
          <w:sz w:val="24"/>
          <w:lang w:val="uk-UA"/>
        </w:rPr>
        <w:t>для бджіл речовин.</w:t>
      </w:r>
    </w:p>
    <w:p w:rsidR="00065FB1" w:rsidRPr="006A0FA8" w:rsidRDefault="00202DE6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При </w:t>
      </w:r>
      <w:r w:rsidR="006A0FA8" w:rsidRPr="006A0FA8">
        <w:rPr>
          <w:rFonts w:ascii="Times New Roman" w:hAnsi="Times New Roman" w:cs="Times New Roman"/>
          <w:bCs/>
          <w:sz w:val="24"/>
          <w:lang w:val="uk-UA"/>
        </w:rPr>
        <w:t xml:space="preserve">отруєнні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бджіл  пестицидами  керуються </w:t>
      </w:r>
      <w:r w:rsidRPr="00202DE6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uk-UA"/>
        </w:rPr>
        <w:t>Інструкцією</w:t>
      </w:r>
      <w:r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по профілактиці отруєнь бджіл пестицидами</w:t>
      </w:r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(«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Инструкция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по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профилактике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отравлений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пчел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 xml:space="preserve"> пестицидами» затверджена Всесоюзним виробничо-науковим об'єднанням по агрохімічному обслуговуванню сільського господарства «</w:t>
      </w:r>
      <w:proofErr w:type="spellStart"/>
      <w:r w:rsidRPr="006A0FA8">
        <w:rPr>
          <w:rFonts w:ascii="Times New Roman" w:hAnsi="Times New Roman" w:cs="Times New Roman"/>
          <w:bCs/>
          <w:sz w:val="24"/>
          <w:lang w:val="uk-UA"/>
        </w:rPr>
        <w:t>Союзсельхозхімія</w:t>
      </w:r>
      <w:proofErr w:type="spellEnd"/>
      <w:r w:rsidRPr="006A0FA8">
        <w:rPr>
          <w:rFonts w:ascii="Times New Roman" w:hAnsi="Times New Roman" w:cs="Times New Roman"/>
          <w:bCs/>
          <w:sz w:val="24"/>
          <w:lang w:val="uk-UA"/>
        </w:rPr>
        <w:t>» і Головним управлінням ветеринарної медицини Держагропрому СРСР 14.06.1989р.</w:t>
      </w:r>
      <w:r>
        <w:rPr>
          <w:rFonts w:ascii="Times New Roman" w:hAnsi="Times New Roman" w:cs="Times New Roman"/>
          <w:bCs/>
          <w:sz w:val="24"/>
          <w:lang w:val="uk-UA"/>
        </w:rPr>
        <w:t xml:space="preserve">). </w:t>
      </w:r>
      <w:r w:rsidR="006A0FA8" w:rsidRPr="006A0FA8">
        <w:rPr>
          <w:rFonts w:ascii="Times New Roman" w:hAnsi="Times New Roman" w:cs="Times New Roman"/>
          <w:bCs/>
          <w:sz w:val="24"/>
          <w:lang w:val="uk-UA"/>
        </w:rPr>
        <w:t xml:space="preserve">У цій Інструкції </w:t>
      </w:r>
      <w:r w:rsidR="006A0FA8" w:rsidRPr="006A0FA8">
        <w:rPr>
          <w:rFonts w:ascii="Times New Roman" w:hAnsi="Times New Roman" w:cs="Times New Roman"/>
          <w:bCs/>
          <w:sz w:val="24"/>
          <w:lang w:val="uk-UA"/>
        </w:rPr>
        <w:br/>
        <w:t xml:space="preserve">подані лише основні моменти  з  профілактики  і  надання  допомоги </w:t>
      </w:r>
      <w:r w:rsidR="006A0FA8" w:rsidRPr="006A0FA8">
        <w:rPr>
          <w:rFonts w:ascii="Times New Roman" w:hAnsi="Times New Roman" w:cs="Times New Roman"/>
          <w:bCs/>
          <w:sz w:val="24"/>
          <w:lang w:val="uk-UA"/>
        </w:rPr>
        <w:br/>
        <w:t>постраждалим від отруєння сім'ям бджіл.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E143E1" w:rsidRPr="00202DE6">
        <w:rPr>
          <w:rFonts w:ascii="Times New Roman" w:hAnsi="Times New Roman" w:cs="Times New Roman"/>
          <w:bCs/>
          <w:sz w:val="24"/>
          <w:lang w:val="uk-UA"/>
        </w:rPr>
        <w:t>Згідно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lang w:val="uk-UA"/>
        </w:rPr>
        <w:t>неї</w:t>
      </w:r>
      <w:r w:rsidR="00E143E1"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="00065FB1" w:rsidRPr="006A0FA8">
        <w:rPr>
          <w:rFonts w:ascii="Times New Roman" w:hAnsi="Times New Roman" w:cs="Times New Roman"/>
          <w:b/>
          <w:bCs/>
          <w:sz w:val="24"/>
        </w:rPr>
        <w:t xml:space="preserve"> </w:t>
      </w:r>
      <w:r w:rsidR="00E143E1" w:rsidRPr="006A0FA8">
        <w:rPr>
          <w:rFonts w:ascii="Times New Roman" w:hAnsi="Times New Roman" w:cs="Times New Roman"/>
          <w:bCs/>
          <w:sz w:val="24"/>
          <w:lang w:val="uk-UA"/>
        </w:rPr>
        <w:t xml:space="preserve">сільськогосподарські підприємства або фермери зобов’язані </w:t>
      </w:r>
      <w:r w:rsidR="00E143E1" w:rsidRPr="006A0FA8">
        <w:rPr>
          <w:rFonts w:ascii="Times New Roman" w:hAnsi="Times New Roman" w:cs="Times New Roman"/>
          <w:b/>
          <w:bCs/>
          <w:sz w:val="24"/>
          <w:lang w:val="uk-UA"/>
        </w:rPr>
        <w:t>повідомити голів</w:t>
      </w:r>
      <w:r w:rsidR="00623896"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органів</w:t>
      </w:r>
      <w:r w:rsidR="00E143E1" w:rsidRPr="006A0FA8">
        <w:rPr>
          <w:rFonts w:ascii="Times New Roman" w:hAnsi="Times New Roman" w:cs="Times New Roman"/>
          <w:b/>
          <w:bCs/>
          <w:sz w:val="24"/>
          <w:lang w:val="uk-UA"/>
        </w:rPr>
        <w:t xml:space="preserve"> місцевого самоврядування про обробку не менше ніж за три доби, повідомлення повинно містити наступні дані:</w:t>
      </w:r>
    </w:p>
    <w:p w:rsidR="00B90E4A" w:rsidRPr="006A0FA8" w:rsidRDefault="00E2180B" w:rsidP="00B538D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Територія</w:t>
      </w:r>
    </w:p>
    <w:p w:rsidR="00B90E4A" w:rsidRPr="006A0FA8" w:rsidRDefault="00E2180B" w:rsidP="00B538D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Дата</w:t>
      </w:r>
    </w:p>
    <w:p w:rsidR="00B90E4A" w:rsidRPr="006A0FA8" w:rsidRDefault="00E2180B" w:rsidP="00B538D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Час</w:t>
      </w:r>
    </w:p>
    <w:p w:rsidR="00B90E4A" w:rsidRPr="006A0FA8" w:rsidRDefault="00E2180B" w:rsidP="00B538D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Препарат</w:t>
      </w:r>
    </w:p>
    <w:p w:rsidR="00B90E4A" w:rsidRPr="006A0FA8" w:rsidRDefault="00E2180B" w:rsidP="00B538D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Діюча речовина</w:t>
      </w:r>
    </w:p>
    <w:p w:rsidR="00B90E4A" w:rsidRPr="006A0FA8" w:rsidRDefault="00E2180B" w:rsidP="00B538D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</w:rPr>
      </w:pPr>
      <w:r w:rsidRPr="006A0FA8">
        <w:rPr>
          <w:rFonts w:ascii="Times New Roman" w:hAnsi="Times New Roman" w:cs="Times New Roman"/>
          <w:b/>
          <w:bCs/>
          <w:sz w:val="24"/>
          <w:lang w:val="uk-UA"/>
        </w:rPr>
        <w:t>Способи їх застосування</w:t>
      </w:r>
      <w:r w:rsidR="00E143E1" w:rsidRPr="006A0FA8">
        <w:rPr>
          <w:rFonts w:ascii="Times New Roman" w:hAnsi="Times New Roman" w:cs="Times New Roman"/>
          <w:b/>
          <w:bCs/>
          <w:sz w:val="24"/>
          <w:lang w:val="uk-UA"/>
        </w:rPr>
        <w:t>.</w:t>
      </w:r>
    </w:p>
    <w:p w:rsidR="00E143E1" w:rsidRDefault="00623896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6A0FA8">
        <w:rPr>
          <w:rFonts w:ascii="Times New Roman" w:hAnsi="Times New Roman" w:cs="Times New Roman"/>
          <w:bCs/>
          <w:sz w:val="24"/>
          <w:lang w:val="uk-UA"/>
        </w:rPr>
        <w:t>В свою чергу голови органів місцевого самоврядування повідомляють про заплановану обробку населення та пасічників на підпорядкованій їм території.</w:t>
      </w:r>
    </w:p>
    <w:p w:rsidR="00202DE6" w:rsidRDefault="00202DE6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>П</w:t>
      </w:r>
      <w:r w:rsidRPr="00202DE6">
        <w:rPr>
          <w:rFonts w:ascii="Times New Roman" w:hAnsi="Times New Roman" w:cs="Times New Roman"/>
          <w:bCs/>
          <w:sz w:val="24"/>
          <w:lang w:val="uk-UA"/>
        </w:rPr>
        <w:t xml:space="preserve">асічники після такого попередження мають закрити свої вулики на період від доби до п’яти діб (в залежності від рівня токсичності </w:t>
      </w:r>
      <w:r>
        <w:rPr>
          <w:rFonts w:ascii="Times New Roman" w:hAnsi="Times New Roman" w:cs="Times New Roman"/>
          <w:bCs/>
          <w:sz w:val="24"/>
          <w:lang w:val="uk-UA"/>
        </w:rPr>
        <w:t>препарату</w:t>
      </w:r>
      <w:r w:rsidRPr="00202DE6">
        <w:rPr>
          <w:rFonts w:ascii="Times New Roman" w:hAnsi="Times New Roman" w:cs="Times New Roman"/>
          <w:bCs/>
          <w:sz w:val="24"/>
          <w:lang w:val="uk-UA"/>
        </w:rPr>
        <w:t>) для того, аби бджоли не отруїлися, оскільки навіть після обробки поле деякий час може бути небезпечним для бджіл</w:t>
      </w:r>
      <w:r>
        <w:rPr>
          <w:rFonts w:ascii="Times New Roman" w:hAnsi="Times New Roman" w:cs="Times New Roman"/>
          <w:bCs/>
          <w:sz w:val="24"/>
          <w:lang w:val="uk-UA"/>
        </w:rPr>
        <w:t>.</w:t>
      </w:r>
    </w:p>
    <w:p w:rsidR="00B538D4" w:rsidRPr="00B538D4" w:rsidRDefault="00B538D4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B538D4">
        <w:rPr>
          <w:rFonts w:ascii="Times New Roman" w:hAnsi="Times New Roman" w:cs="Times New Roman"/>
          <w:b/>
          <w:bCs/>
          <w:sz w:val="24"/>
          <w:lang w:val="uk-UA"/>
        </w:rPr>
        <w:t>Відповідно до статті 38 Закону України «Про бджільництво» порушення законодавства в галузі бджільництва</w:t>
      </w:r>
      <w:r w:rsidRPr="00B538D4">
        <w:rPr>
          <w:rFonts w:ascii="Times New Roman" w:hAnsi="Times New Roman" w:cs="Times New Roman"/>
          <w:bCs/>
          <w:sz w:val="24"/>
          <w:lang w:val="uk-UA"/>
        </w:rPr>
        <w:t xml:space="preserve"> тягне з</w:t>
      </w:r>
      <w:r>
        <w:rPr>
          <w:rFonts w:ascii="Times New Roman" w:hAnsi="Times New Roman" w:cs="Times New Roman"/>
          <w:bCs/>
          <w:sz w:val="24"/>
          <w:lang w:val="uk-UA"/>
        </w:rPr>
        <w:t>а собою дисциплінарну, цивільно-</w:t>
      </w:r>
      <w:r w:rsidRPr="00B538D4">
        <w:rPr>
          <w:rFonts w:ascii="Times New Roman" w:hAnsi="Times New Roman" w:cs="Times New Roman"/>
          <w:bCs/>
          <w:sz w:val="24"/>
          <w:lang w:val="uk-UA"/>
        </w:rPr>
        <w:t>правову або кримінальну відповідальність згідно з Законами України. Відповідальність за порушення законодавства в галузі бджільництва несуть особи, винні у неповідомленні (приховуванні) або наданні неправдивої інформації про виникнення загрози бджолам при застосуванні засобів захисту рослин.</w:t>
      </w:r>
    </w:p>
    <w:p w:rsidR="00B538D4" w:rsidRDefault="00B538D4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B538D4">
        <w:rPr>
          <w:rFonts w:ascii="Times New Roman" w:hAnsi="Times New Roman" w:cs="Times New Roman"/>
          <w:bCs/>
          <w:sz w:val="24"/>
          <w:lang w:val="uk-UA"/>
        </w:rPr>
        <w:t xml:space="preserve">Для запобігання випадків отруєння та </w:t>
      </w:r>
      <w:r w:rsidR="007807E1">
        <w:rPr>
          <w:rFonts w:ascii="Times New Roman" w:hAnsi="Times New Roman" w:cs="Times New Roman"/>
          <w:bCs/>
          <w:sz w:val="24"/>
          <w:lang w:val="uk-UA"/>
        </w:rPr>
        <w:t>за</w:t>
      </w:r>
      <w:r w:rsidRPr="00B538D4">
        <w:rPr>
          <w:rFonts w:ascii="Times New Roman" w:hAnsi="Times New Roman" w:cs="Times New Roman"/>
          <w:bCs/>
          <w:sz w:val="24"/>
          <w:lang w:val="uk-UA"/>
        </w:rPr>
        <w:t>гибелі бджіл внаслідок порушення вимог чинного законодавства щодо використання пестицидів та агрохімікатів при обробці посівів сільськогосподарських рослин, нагадуємо про необхідність забезпечення контролю цих питань.</w:t>
      </w:r>
    </w:p>
    <w:p w:rsidR="00615448" w:rsidRDefault="00615448" w:rsidP="00615448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8"/>
          <w:bdr w:val="none" w:sz="0" w:space="0" w:color="auto" w:frame="1"/>
          <w:lang w:val="uk-UA"/>
        </w:rPr>
      </w:pPr>
    </w:p>
    <w:p w:rsidR="00615448" w:rsidRPr="006A0FA8" w:rsidRDefault="00615448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623896" w:rsidRDefault="00623896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6A0FA8" w:rsidRDefault="006A0FA8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6A0FA8" w:rsidRDefault="006A0FA8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6A0FA8" w:rsidRDefault="006A0FA8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065FB1" w:rsidRPr="00E2180B" w:rsidRDefault="00623896" w:rsidP="00B538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62389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152515" cy="378460"/>
            <wp:effectExtent l="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88237" cy="460375"/>
                      <a:chOff x="684213" y="168275"/>
                      <a:chExt cx="7488237" cy="460375"/>
                    </a:xfrm>
                  </a:grpSpPr>
                  <a:sp>
                    <a:nvSpPr>
                      <a:cNvPr id="11267" name="Прямоугольник 2"/>
                      <a:cNvSpPr>
                        <a:spLocks noChangeArrowheads="1"/>
                      </a:cNvSpPr>
                    </a:nvSpPr>
                    <a:spPr bwMode="auto">
                      <a:xfrm>
                        <a:off x="684213" y="168275"/>
                        <a:ext cx="7488237" cy="460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uk-UA" altLang="uk-UA" sz="2400" b="1" u="sng" dirty="0">
                              <a:solidFill>
                                <a:srgbClr val="C00000"/>
                              </a:solidFill>
                            </a:rPr>
                            <a:t> Алгоритм дій у випадку виникнення отруєння</a:t>
                          </a:r>
                          <a:endParaRPr lang="ru-RU" altLang="uk-UA" sz="2400" b="1" u="sng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23896">
        <w:rPr>
          <w:rFonts w:ascii="Times New Roman" w:hAnsi="Times New Roman" w:cs="Times New Roman"/>
          <w:noProof/>
          <w:sz w:val="28"/>
        </w:rPr>
        <w:t xml:space="preserve"> </w:t>
      </w:r>
      <w:r w:rsidRPr="0062389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355725" cy="923925"/>
            <wp:effectExtent l="0" t="0" r="0" b="0"/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5725" cy="923925"/>
                      <a:chOff x="244475" y="2324100"/>
                      <a:chExt cx="1355725" cy="923925"/>
                    </a:xfrm>
                  </a:grpSpPr>
                  <a:sp>
                    <a:nvSpPr>
                      <a:cNvPr id="11269" name="Прямоугольник 3"/>
                      <a:cNvSpPr>
                        <a:spLocks noChangeArrowheads="1"/>
                      </a:cNvSpPr>
                    </a:nvSpPr>
                    <a:spPr bwMode="auto">
                      <a:xfrm>
                        <a:off x="244475" y="2324100"/>
                        <a:ext cx="13557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1" hangingPunct="1"/>
                          <a:r>
                            <a:rPr lang="uk-UA" altLang="uk-UA">
                              <a:solidFill>
                                <a:srgbClr val="002060"/>
                              </a:solidFill>
                            </a:rPr>
                            <a:t>Громадяни</a:t>
                          </a:r>
                        </a:p>
                        <a:p>
                          <a:pPr algn="ctr" eaLnBrk="1" hangingPunct="1"/>
                          <a:r>
                            <a:rPr lang="uk-UA" altLang="uk-UA">
                              <a:solidFill>
                                <a:srgbClr val="002060"/>
                              </a:solidFill>
                            </a:rPr>
                            <a:t> власники</a:t>
                          </a:r>
                        </a:p>
                        <a:p>
                          <a:pPr algn="ctr" eaLnBrk="1" hangingPunct="1"/>
                          <a:r>
                            <a:rPr lang="uk-UA" altLang="uk-UA">
                              <a:solidFill>
                                <a:srgbClr val="002060"/>
                              </a:solidFill>
                            </a:rPr>
                            <a:t> пасічники</a:t>
                          </a:r>
                          <a:endParaRPr lang="ru-RU" altLang="uk-UA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23896">
        <w:rPr>
          <w:rFonts w:ascii="Times New Roman" w:hAnsi="Times New Roman" w:cs="Times New Roman"/>
          <w:noProof/>
          <w:sz w:val="28"/>
        </w:rPr>
        <w:t xml:space="preserve"> </w:t>
      </w:r>
      <w:r w:rsidRPr="0062389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0512" cy="327025"/>
            <wp:effectExtent l="1905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0512" cy="327025"/>
                      <a:chOff x="1662113" y="2822575"/>
                      <a:chExt cx="290512" cy="327025"/>
                    </a:xfrm>
                  </a:grpSpPr>
                  <a:sp>
                    <a:nvSpPr>
                      <a:cNvPr id="20" name="Стрелка вправо 19"/>
                      <a:cNvSpPr/>
                    </a:nvSpPr>
                    <a:spPr>
                      <a:xfrm>
                        <a:off x="1662113" y="2822575"/>
                        <a:ext cx="290512" cy="327025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uk-UA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56685" cy="81724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FB1" w:rsidRPr="00990A56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</w:t>
      </w:r>
      <w:r w:rsidR="00ED1221" w:rsidRP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8612" cy="290512"/>
            <wp:effectExtent l="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2" cy="290512"/>
                      <a:chOff x="7739063" y="3871913"/>
                      <a:chExt cx="328612" cy="290512"/>
                    </a:xfrm>
                  </a:grpSpPr>
                  <a:sp>
                    <a:nvSpPr>
                      <a:cNvPr id="28" name="Стрелка вправо 27"/>
                      <a:cNvSpPr/>
                    </a:nvSpPr>
                    <a:spPr>
                      <a:xfrm rot="5400000">
                        <a:off x="7758113" y="3852863"/>
                        <a:ext cx="290512" cy="32861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uk-UA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90E4A" w:rsidRDefault="00B538D4" w:rsidP="00B538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14140" cy="57277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21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</w:t>
      </w:r>
      <w:r w:rsidR="00ED1221" w:rsidRP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8612" cy="290512"/>
            <wp:effectExtent l="0" t="0" r="0" b="0"/>
            <wp:docPr id="10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2" cy="290512"/>
                      <a:chOff x="7739063" y="3871913"/>
                      <a:chExt cx="328612" cy="290512"/>
                    </a:xfrm>
                  </a:grpSpPr>
                  <a:sp>
                    <a:nvSpPr>
                      <a:cNvPr id="28" name="Стрелка вправо 27"/>
                      <a:cNvSpPr/>
                    </a:nvSpPr>
                    <a:spPr>
                      <a:xfrm rot="5400000">
                        <a:off x="7758113" y="3852863"/>
                        <a:ext cx="290512" cy="32861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uk-UA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D1221" w:rsidRPr="00ED1221" w:rsidRDefault="00ED1221" w:rsidP="00B538D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lang w:val="uk-UA"/>
        </w:rPr>
      </w:pPr>
      <w:r w:rsidRPr="00B538D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901565" cy="646430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21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</w:t>
      </w:r>
      <w:r w:rsidR="00ED1221" w:rsidRP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8612" cy="290512"/>
            <wp:effectExtent l="0" t="0" r="0" b="0"/>
            <wp:docPr id="12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2" cy="290512"/>
                      <a:chOff x="7739063" y="3871913"/>
                      <a:chExt cx="328612" cy="290512"/>
                    </a:xfrm>
                  </a:grpSpPr>
                  <a:sp>
                    <a:nvSpPr>
                      <a:cNvPr id="28" name="Стрелка вправо 27"/>
                      <a:cNvSpPr/>
                    </a:nvSpPr>
                    <a:spPr>
                      <a:xfrm rot="5400000">
                        <a:off x="7758113" y="3852863"/>
                        <a:ext cx="290512" cy="32861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uk-UA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D1221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t xml:space="preserve">                                                           </w:t>
      </w:r>
      <w:r w:rsid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47340" cy="1195070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21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</w:t>
      </w:r>
      <w:r w:rsidR="00ED1221" w:rsidRPr="00ED12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8612" cy="290512"/>
            <wp:effectExtent l="0" t="0" r="0" b="0"/>
            <wp:docPr id="1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2" cy="290512"/>
                      <a:chOff x="7739063" y="3871913"/>
                      <a:chExt cx="328612" cy="290512"/>
                    </a:xfrm>
                  </a:grpSpPr>
                  <a:sp>
                    <a:nvSpPr>
                      <a:cNvPr id="28" name="Стрелка вправо 27"/>
                      <a:cNvSpPr/>
                    </a:nvSpPr>
                    <a:spPr>
                      <a:xfrm rot="5400000">
                        <a:off x="7758113" y="3852863"/>
                        <a:ext cx="290512" cy="32861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uk-UA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D1221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t xml:space="preserve">                                                        </w:t>
      </w:r>
      <w:r w:rsidR="00E2180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88335" cy="64643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80B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</w:t>
      </w:r>
      <w:r w:rsidR="00E2180B" w:rsidRPr="00E2180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8612" cy="290512"/>
            <wp:effectExtent l="0" t="0" r="0" b="0"/>
            <wp:docPr id="1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2" cy="290512"/>
                      <a:chOff x="7739063" y="3871913"/>
                      <a:chExt cx="328612" cy="290512"/>
                    </a:xfrm>
                  </a:grpSpPr>
                  <a:sp>
                    <a:nvSpPr>
                      <a:cNvPr id="28" name="Стрелка вправо 27"/>
                      <a:cNvSpPr/>
                    </a:nvSpPr>
                    <a:spPr>
                      <a:xfrm rot="5400000">
                        <a:off x="7758113" y="3852863"/>
                        <a:ext cx="290512" cy="32861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uk-UA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2180B" w:rsidRDefault="00B538D4" w:rsidP="00B538D4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144780</wp:posOffset>
            </wp:positionV>
            <wp:extent cx="3324225" cy="647700"/>
            <wp:effectExtent l="0" t="0" r="0" b="0"/>
            <wp:wrapSquare wrapText="bothSides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E2180B">
        <w:rPr>
          <w:rFonts w:ascii="Times New Roman" w:hAnsi="Times New Roman" w:cs="Times New Roman"/>
          <w:sz w:val="28"/>
          <w:lang w:val="uk-UA"/>
        </w:rPr>
        <w:br w:type="textWrapping" w:clear="all"/>
      </w:r>
    </w:p>
    <w:p w:rsidR="00E2180B" w:rsidRDefault="00E2180B" w:rsidP="00B538D4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bCs/>
          <w:color w:val="C00000"/>
          <w:sz w:val="36"/>
          <w:u w:val="single"/>
          <w:lang w:val="uk-UA"/>
        </w:rPr>
      </w:pPr>
      <w:r w:rsidRPr="00E2180B">
        <w:rPr>
          <w:rFonts w:ascii="Times New Roman" w:hAnsi="Times New Roman" w:cs="Times New Roman"/>
          <w:b/>
          <w:bCs/>
          <w:color w:val="C00000"/>
          <w:sz w:val="36"/>
          <w:u w:val="single"/>
          <w:lang w:val="uk-UA"/>
        </w:rPr>
        <w:t>Якщо пасіки не зареєстровані, то юридично їх не існує і у випадку отруєння бджіл, крадіжки, стихійного лиха та ін. довести розмір завданої шкоди неможливо</w:t>
      </w:r>
      <w:r w:rsidRPr="00E2180B">
        <w:rPr>
          <w:rFonts w:ascii="Times New Roman" w:hAnsi="Times New Roman" w:cs="Times New Roman"/>
          <w:b/>
          <w:bCs/>
          <w:color w:val="C00000"/>
          <w:sz w:val="36"/>
          <w:u w:val="single"/>
        </w:rPr>
        <w:t xml:space="preserve"> </w:t>
      </w:r>
    </w:p>
    <w:p w:rsidR="00615448" w:rsidRDefault="00615448" w:rsidP="00B538D4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bCs/>
          <w:color w:val="C00000"/>
          <w:sz w:val="36"/>
          <w:u w:val="single"/>
          <w:lang w:val="uk-UA"/>
        </w:rPr>
      </w:pPr>
    </w:p>
    <w:p w:rsidR="00615448" w:rsidRDefault="00615448" w:rsidP="00B538D4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bCs/>
          <w:color w:val="C00000"/>
          <w:sz w:val="36"/>
          <w:u w:val="single"/>
          <w:lang w:val="uk-UA"/>
        </w:rPr>
      </w:pPr>
    </w:p>
    <w:p w:rsidR="00615448" w:rsidRPr="00615448" w:rsidRDefault="00615448" w:rsidP="00B538D4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color w:val="C00000"/>
          <w:sz w:val="40"/>
          <w:lang w:val="uk-UA"/>
        </w:rPr>
      </w:pPr>
    </w:p>
    <w:p w:rsidR="00615448" w:rsidRPr="00615448" w:rsidRDefault="00615448" w:rsidP="0061544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</w:pPr>
      <w:r w:rsidRPr="006154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>Головний спеціаліст відділу безпечності</w:t>
      </w:r>
    </w:p>
    <w:p w:rsidR="00615448" w:rsidRPr="00615448" w:rsidRDefault="00615448" w:rsidP="0061544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</w:pPr>
      <w:r w:rsidRPr="006154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>харчових продуктів та ветеринарної медицини</w:t>
      </w:r>
    </w:p>
    <w:p w:rsidR="00615448" w:rsidRPr="00615448" w:rsidRDefault="00615448" w:rsidP="0061544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</w:pPr>
      <w:r w:rsidRPr="006154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>Первомайського міжрайонного управління</w:t>
      </w:r>
    </w:p>
    <w:p w:rsidR="00615448" w:rsidRPr="00615448" w:rsidRDefault="00615448" w:rsidP="0061544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</w:pPr>
      <w:r w:rsidRPr="006154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>Головного управління Держпродспоживслужби</w:t>
      </w:r>
    </w:p>
    <w:p w:rsidR="00615448" w:rsidRPr="00615448" w:rsidRDefault="00615448" w:rsidP="0061544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</w:pPr>
      <w:r w:rsidRPr="006154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 xml:space="preserve">в Миколаївській області                   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 xml:space="preserve">                      </w:t>
      </w:r>
      <w:r w:rsidRPr="006154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/>
        </w:rPr>
        <w:t xml:space="preserve">                                                    Н. ПИСАРЕНКО</w:t>
      </w:r>
    </w:p>
    <w:p w:rsidR="00E2180B" w:rsidRPr="00ED1221" w:rsidRDefault="00E2180B" w:rsidP="00B538D4">
      <w:pPr>
        <w:spacing w:after="0" w:line="240" w:lineRule="auto"/>
        <w:ind w:left="-567" w:firstLine="284"/>
        <w:rPr>
          <w:rFonts w:ascii="Times New Roman" w:hAnsi="Times New Roman" w:cs="Times New Roman"/>
          <w:sz w:val="28"/>
          <w:lang w:val="uk-UA"/>
        </w:rPr>
      </w:pPr>
    </w:p>
    <w:sectPr w:rsidR="00E2180B" w:rsidRPr="00ED1221" w:rsidSect="006154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35EE"/>
    <w:multiLevelType w:val="hybridMultilevel"/>
    <w:tmpl w:val="6C8A694C"/>
    <w:lvl w:ilvl="0" w:tplc="1138E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034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A0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88A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C1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0C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49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E55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6A5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464572"/>
    <w:multiLevelType w:val="hybridMultilevel"/>
    <w:tmpl w:val="07083448"/>
    <w:lvl w:ilvl="0" w:tplc="548AB2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FB1"/>
    <w:rsid w:val="00065FB1"/>
    <w:rsid w:val="00202DE6"/>
    <w:rsid w:val="00246319"/>
    <w:rsid w:val="005B17DA"/>
    <w:rsid w:val="005F2A9D"/>
    <w:rsid w:val="00615448"/>
    <w:rsid w:val="00623896"/>
    <w:rsid w:val="006A0FA8"/>
    <w:rsid w:val="007807E1"/>
    <w:rsid w:val="008E5C00"/>
    <w:rsid w:val="00990A56"/>
    <w:rsid w:val="00B538D4"/>
    <w:rsid w:val="00B90E4A"/>
    <w:rsid w:val="00E143E1"/>
    <w:rsid w:val="00E2180B"/>
    <w:rsid w:val="00ED1221"/>
    <w:rsid w:val="00F3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0A56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A0F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A0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2020-05-20T07:00:00Z</dcterms:created>
  <dcterms:modified xsi:type="dcterms:W3CDTF">2020-05-20T07:14:00Z</dcterms:modified>
</cp:coreProperties>
</file>